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6B67CF" w14:textId="1AF3FA88" w:rsidR="00160D0A" w:rsidRDefault="00160D0A" w:rsidP="00160D0A">
      <w:pPr>
        <w:pStyle w:val="NoSpacing"/>
        <w:contextualSpacing/>
        <w:jc w:val="both"/>
        <w:rPr>
          <w:rFonts w:ascii="Arial" w:hAnsi="Arial" w:cs="Arial"/>
          <w:b/>
          <w:sz w:val="28"/>
          <w:szCs w:val="28"/>
        </w:rPr>
      </w:pPr>
      <w:r w:rsidRPr="00E913CF">
        <w:rPr>
          <w:rFonts w:ascii="Arial" w:hAnsi="Arial" w:cs="Arial"/>
          <w:b/>
          <w:sz w:val="28"/>
          <w:szCs w:val="28"/>
        </w:rPr>
        <w:t>3GPP TSG RAN WG</w:t>
      </w:r>
      <w:r>
        <w:rPr>
          <w:rFonts w:ascii="Arial" w:hAnsi="Arial" w:cs="Arial"/>
          <w:b/>
          <w:sz w:val="28"/>
          <w:szCs w:val="28"/>
        </w:rPr>
        <w:t>4</w:t>
      </w:r>
      <w:r w:rsidRPr="00E913CF">
        <w:rPr>
          <w:rFonts w:ascii="Arial" w:hAnsi="Arial" w:cs="Arial"/>
          <w:b/>
          <w:sz w:val="28"/>
          <w:szCs w:val="28"/>
        </w:rPr>
        <w:t xml:space="preserve"> #1</w:t>
      </w:r>
      <w:r>
        <w:rPr>
          <w:rFonts w:ascii="Arial" w:hAnsi="Arial" w:cs="Arial"/>
          <w:b/>
          <w:sz w:val="28"/>
          <w:szCs w:val="28"/>
        </w:rPr>
        <w:t>12</w:t>
      </w:r>
      <w:r>
        <w:rPr>
          <w:rFonts w:ascii="Arial" w:hAnsi="Arial" w:cs="Arial"/>
          <w:b/>
          <w:sz w:val="28"/>
          <w:szCs w:val="28"/>
        </w:rPr>
        <w:tab/>
      </w:r>
      <w:r w:rsidRPr="00E913CF">
        <w:rPr>
          <w:rFonts w:ascii="Arial" w:hAnsi="Arial" w:cs="Arial"/>
          <w:b/>
          <w:sz w:val="28"/>
          <w:szCs w:val="28"/>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r>
      <w:r w:rsidRPr="000D3066">
        <w:rPr>
          <w:rFonts w:ascii="Arial" w:hAnsi="Arial" w:cs="Arial"/>
          <w:b/>
          <w:sz w:val="28"/>
          <w:szCs w:val="28"/>
          <w:lang w:eastAsia="zh-CN"/>
        </w:rPr>
        <w:tab/>
        <w:t xml:space="preserve">  </w:t>
      </w:r>
      <w:r w:rsidRPr="00E913CF">
        <w:rPr>
          <w:rFonts w:ascii="Arial" w:hAnsi="Arial" w:cs="Arial"/>
          <w:b/>
          <w:sz w:val="28"/>
          <w:szCs w:val="28"/>
        </w:rPr>
        <w:t>R</w:t>
      </w:r>
      <w:r>
        <w:rPr>
          <w:rFonts w:ascii="Arial" w:hAnsi="Arial" w:cs="Arial"/>
          <w:b/>
          <w:sz w:val="28"/>
          <w:szCs w:val="28"/>
        </w:rPr>
        <w:t>4</w:t>
      </w:r>
      <w:r w:rsidRPr="00E913CF">
        <w:rPr>
          <w:rFonts w:ascii="Arial" w:hAnsi="Arial" w:cs="Arial"/>
          <w:b/>
          <w:sz w:val="28"/>
          <w:szCs w:val="28"/>
        </w:rPr>
        <w:t>-</w:t>
      </w:r>
      <w:r>
        <w:rPr>
          <w:rFonts w:ascii="Arial" w:hAnsi="Arial" w:cs="Arial"/>
          <w:b/>
          <w:sz w:val="28"/>
          <w:szCs w:val="28"/>
        </w:rPr>
        <w:t>2411545</w:t>
      </w:r>
    </w:p>
    <w:p w14:paraId="257A3283" w14:textId="77777777" w:rsidR="00160D0A" w:rsidRPr="00E913CF" w:rsidRDefault="00160D0A" w:rsidP="00160D0A">
      <w:pPr>
        <w:pStyle w:val="NoSpacing"/>
        <w:contextualSpacing/>
        <w:jc w:val="both"/>
        <w:rPr>
          <w:rFonts w:ascii="Arial" w:hAnsi="Arial" w:cs="Arial"/>
          <w:b/>
          <w:sz w:val="28"/>
          <w:szCs w:val="28"/>
        </w:rPr>
      </w:pPr>
      <w:r>
        <w:rPr>
          <w:rFonts w:ascii="Arial" w:hAnsi="Arial" w:cs="Arial"/>
          <w:b/>
          <w:sz w:val="28"/>
          <w:szCs w:val="28"/>
        </w:rPr>
        <w:t>Maastricht, NL, August 19</w:t>
      </w:r>
      <w:r w:rsidRPr="00C05EFB">
        <w:rPr>
          <w:rFonts w:ascii="Arial" w:hAnsi="Arial" w:cs="Arial"/>
          <w:b/>
          <w:sz w:val="28"/>
          <w:szCs w:val="28"/>
          <w:vertAlign w:val="superscript"/>
        </w:rPr>
        <w:t>th</w:t>
      </w:r>
      <w:r>
        <w:rPr>
          <w:rFonts w:ascii="Arial" w:hAnsi="Arial" w:cs="Arial"/>
          <w:b/>
          <w:sz w:val="28"/>
          <w:szCs w:val="28"/>
        </w:rPr>
        <w:t xml:space="preserve"> </w:t>
      </w:r>
      <w:r w:rsidRPr="00E913CF">
        <w:rPr>
          <w:rFonts w:ascii="Arial" w:hAnsi="Arial" w:cs="Arial"/>
          <w:b/>
          <w:sz w:val="28"/>
          <w:szCs w:val="28"/>
        </w:rPr>
        <w:t>–</w:t>
      </w:r>
      <w:r>
        <w:rPr>
          <w:rFonts w:ascii="Arial" w:hAnsi="Arial" w:cs="Arial"/>
          <w:b/>
          <w:sz w:val="28"/>
          <w:szCs w:val="28"/>
        </w:rPr>
        <w:t xml:space="preserve"> 23</w:t>
      </w:r>
      <w:r>
        <w:rPr>
          <w:rFonts w:ascii="Arial" w:hAnsi="Arial" w:cs="Arial"/>
          <w:b/>
          <w:sz w:val="28"/>
          <w:szCs w:val="28"/>
          <w:vertAlign w:val="superscript"/>
        </w:rPr>
        <w:t>rd</w:t>
      </w:r>
      <w:r w:rsidRPr="00E913CF">
        <w:rPr>
          <w:rFonts w:ascii="Arial" w:hAnsi="Arial" w:cs="Arial"/>
          <w:b/>
          <w:sz w:val="28"/>
          <w:szCs w:val="28"/>
        </w:rPr>
        <w:t>, 202</w:t>
      </w:r>
      <w:r>
        <w:rPr>
          <w:rFonts w:ascii="Arial" w:hAnsi="Arial" w:cs="Arial"/>
          <w:b/>
          <w:sz w:val="28"/>
          <w:szCs w:val="28"/>
        </w:rPr>
        <w:t>4</w:t>
      </w:r>
    </w:p>
    <w:p w14:paraId="5BF09BE9" w14:textId="77777777" w:rsidR="00160D0A" w:rsidRPr="000D3066" w:rsidRDefault="00160D0A" w:rsidP="00160D0A">
      <w:pPr>
        <w:pStyle w:val="NoSpacing"/>
        <w:contextualSpacing/>
        <w:jc w:val="both"/>
        <w:rPr>
          <w:rFonts w:ascii="Arial" w:hAnsi="Arial" w:cs="Arial"/>
          <w:b/>
          <w:sz w:val="24"/>
          <w:szCs w:val="24"/>
          <w:lang w:eastAsia="zh-CN"/>
        </w:rPr>
      </w:pPr>
    </w:p>
    <w:p w14:paraId="389A2F0F" w14:textId="77777777" w:rsidR="00160D0A" w:rsidRPr="000D3066" w:rsidRDefault="00160D0A" w:rsidP="00160D0A">
      <w:pPr>
        <w:pStyle w:val="NoSpacing"/>
        <w:contextualSpacing/>
        <w:jc w:val="both"/>
        <w:rPr>
          <w:rFonts w:ascii="Arial" w:hAnsi="Arial" w:cs="Arial"/>
          <w:b/>
          <w:sz w:val="24"/>
          <w:szCs w:val="24"/>
          <w:lang w:eastAsia="zh-CN"/>
        </w:rPr>
      </w:pPr>
    </w:p>
    <w:p w14:paraId="0E0C1E21" w14:textId="77777777" w:rsidR="00160D0A" w:rsidRPr="000D3066" w:rsidRDefault="00160D0A" w:rsidP="00160D0A">
      <w:pPr>
        <w:pStyle w:val="NoSpacing"/>
        <w:contextualSpacing/>
        <w:jc w:val="both"/>
        <w:rPr>
          <w:rFonts w:ascii="Arial" w:hAnsi="Arial" w:cs="Arial"/>
          <w:b/>
          <w:sz w:val="24"/>
          <w:szCs w:val="24"/>
          <w:lang w:eastAsia="zh-CN"/>
        </w:rPr>
      </w:pPr>
      <w:r w:rsidRPr="0052022F">
        <w:rPr>
          <w:rFonts w:ascii="Arial" w:hAnsi="Arial" w:cs="Arial"/>
          <w:b/>
          <w:sz w:val="24"/>
          <w:szCs w:val="24"/>
        </w:rPr>
        <w:t>Agenda Item:</w:t>
      </w:r>
      <w:r w:rsidRPr="0052022F">
        <w:rPr>
          <w:rFonts w:ascii="Arial" w:hAnsi="Arial" w:cs="Arial"/>
          <w:b/>
          <w:sz w:val="24"/>
          <w:szCs w:val="24"/>
        </w:rPr>
        <w:tab/>
      </w:r>
      <w:r w:rsidRPr="0052022F">
        <w:rPr>
          <w:rFonts w:ascii="Arial" w:hAnsi="Arial" w:cs="Arial"/>
          <w:b/>
          <w:sz w:val="24"/>
          <w:szCs w:val="24"/>
        </w:rPr>
        <w:tab/>
      </w:r>
      <w:r>
        <w:rPr>
          <w:rFonts w:ascii="Arial" w:hAnsi="Arial" w:cs="Arial"/>
          <w:b/>
          <w:sz w:val="24"/>
          <w:szCs w:val="24"/>
        </w:rPr>
        <w:t>8.12.2.2</w:t>
      </w:r>
    </w:p>
    <w:p w14:paraId="01EC9D00" w14:textId="77777777" w:rsidR="00160D0A" w:rsidRPr="0052022F" w:rsidRDefault="00160D0A" w:rsidP="00160D0A">
      <w:pPr>
        <w:pStyle w:val="NoSpacing"/>
        <w:contextualSpacing/>
        <w:jc w:val="both"/>
        <w:rPr>
          <w:rFonts w:ascii="Arial" w:eastAsia="SimSun" w:hAnsi="Arial" w:cs="Arial"/>
          <w:b/>
          <w:sz w:val="24"/>
          <w:szCs w:val="24"/>
        </w:rPr>
      </w:pPr>
      <w:r w:rsidRPr="0052022F">
        <w:rPr>
          <w:rFonts w:ascii="Arial" w:hAnsi="Arial" w:cs="Arial"/>
          <w:b/>
          <w:sz w:val="24"/>
          <w:szCs w:val="24"/>
        </w:rPr>
        <w:t>Source:</w:t>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sidRPr="0052022F">
        <w:rPr>
          <w:rFonts w:ascii="Arial" w:hAnsi="Arial" w:cs="Arial"/>
          <w:b/>
          <w:sz w:val="24"/>
          <w:szCs w:val="24"/>
        </w:rPr>
        <w:tab/>
      </w:r>
      <w:r>
        <w:rPr>
          <w:rFonts w:ascii="Arial" w:hAnsi="Arial" w:cs="Arial"/>
          <w:b/>
          <w:sz w:val="24"/>
          <w:szCs w:val="24"/>
        </w:rPr>
        <w:t>Inmarsat</w:t>
      </w:r>
    </w:p>
    <w:p w14:paraId="6D4FC7A3" w14:textId="744B527F" w:rsidR="00160D0A" w:rsidRPr="000D3066" w:rsidRDefault="00160D0A" w:rsidP="00160D0A">
      <w:pPr>
        <w:pStyle w:val="NoSpacing"/>
        <w:ind w:left="2010" w:hanging="2010"/>
        <w:contextualSpacing/>
        <w:jc w:val="both"/>
        <w:rPr>
          <w:rFonts w:ascii="Arial" w:hAnsi="Arial" w:cs="Arial"/>
          <w:b/>
          <w:sz w:val="24"/>
          <w:szCs w:val="24"/>
        </w:rPr>
      </w:pPr>
      <w:r w:rsidRPr="00E913CF">
        <w:rPr>
          <w:rFonts w:ascii="Arial" w:hAnsi="Arial" w:cs="Arial"/>
          <w:b/>
          <w:sz w:val="24"/>
          <w:szCs w:val="24"/>
        </w:rPr>
        <w:t>Title:</w:t>
      </w:r>
      <w:bookmarkStart w:id="0" w:name="Title"/>
      <w:bookmarkEnd w:id="0"/>
      <w:r w:rsidRPr="00E913CF">
        <w:rPr>
          <w:rFonts w:ascii="Arial" w:hAnsi="Arial" w:cs="Arial"/>
          <w:b/>
          <w:sz w:val="24"/>
          <w:szCs w:val="24"/>
        </w:rPr>
        <w:tab/>
      </w:r>
      <w:r w:rsidR="00602FA1" w:rsidRPr="00602FA1">
        <w:rPr>
          <w:rFonts w:ascii="Arial" w:hAnsi="Arial" w:cs="Arial"/>
          <w:b/>
          <w:sz w:val="24"/>
          <w:szCs w:val="24"/>
          <w:lang w:val="en-GB"/>
        </w:rPr>
        <w:t>Examples of FR1 NTN high-gain and VSAT-like terminals OTA characteristics</w:t>
      </w:r>
    </w:p>
    <w:p w14:paraId="28AAB2BA" w14:textId="77777777" w:rsidR="00160D0A" w:rsidRPr="00E913CF" w:rsidRDefault="00160D0A" w:rsidP="00160D0A">
      <w:pPr>
        <w:pStyle w:val="NoSpacing"/>
        <w:contextualSpacing/>
        <w:jc w:val="both"/>
        <w:rPr>
          <w:rFonts w:ascii="Arial" w:eastAsia="SimSun" w:hAnsi="Arial" w:cs="Arial"/>
          <w:b/>
          <w:sz w:val="24"/>
          <w:szCs w:val="24"/>
        </w:rPr>
      </w:pPr>
      <w:r w:rsidRPr="00E913CF">
        <w:rPr>
          <w:rFonts w:ascii="Arial" w:hAnsi="Arial" w:cs="Arial"/>
          <w:b/>
          <w:sz w:val="24"/>
          <w:szCs w:val="24"/>
        </w:rPr>
        <w:t>Document for:</w:t>
      </w:r>
      <w:r w:rsidRPr="00E913CF">
        <w:rPr>
          <w:rFonts w:ascii="Arial" w:hAnsi="Arial" w:cs="Arial"/>
          <w:b/>
          <w:sz w:val="24"/>
          <w:szCs w:val="24"/>
        </w:rPr>
        <w:tab/>
      </w:r>
      <w:bookmarkStart w:id="1" w:name="DocumentFor"/>
      <w:bookmarkEnd w:id="1"/>
      <w:r w:rsidRPr="00E913CF">
        <w:rPr>
          <w:rFonts w:ascii="Arial" w:hAnsi="Arial" w:cs="Arial"/>
          <w:b/>
          <w:sz w:val="24"/>
          <w:szCs w:val="24"/>
        </w:rPr>
        <w:tab/>
      </w:r>
      <w:r>
        <w:rPr>
          <w:rFonts w:ascii="Arial" w:hAnsi="Arial" w:cs="Arial"/>
          <w:b/>
          <w:sz w:val="24"/>
          <w:szCs w:val="24"/>
        </w:rPr>
        <w:t>Discussion</w:t>
      </w:r>
    </w:p>
    <w:p w14:paraId="37975360" w14:textId="77777777" w:rsidR="00160D0A" w:rsidRDefault="00160D0A" w:rsidP="00160D0A"/>
    <w:p w14:paraId="4366607E" w14:textId="77777777" w:rsidR="00160D0A" w:rsidRDefault="00160D0A" w:rsidP="00160D0A">
      <w:pPr>
        <w:pStyle w:val="Heading1"/>
        <w:numPr>
          <w:ilvl w:val="0"/>
          <w:numId w:val="1"/>
        </w:numPr>
        <w:tabs>
          <w:tab w:val="num" w:pos="360"/>
        </w:tabs>
        <w:spacing w:before="0" w:after="240"/>
        <w:ind w:left="1134" w:hanging="1134"/>
        <w:jc w:val="both"/>
        <w:rPr>
          <w:rFonts w:cs="Arial"/>
          <w:smallCaps/>
          <w:lang w:val="en-US"/>
        </w:rPr>
      </w:pPr>
      <w:r w:rsidRPr="00E913CF">
        <w:rPr>
          <w:rFonts w:cs="Arial"/>
          <w:smallCaps/>
          <w:lang w:val="en-US"/>
        </w:rPr>
        <w:t>Background</w:t>
      </w:r>
    </w:p>
    <w:p w14:paraId="4EC399D4" w14:textId="77777777" w:rsidR="00A829C5" w:rsidRDefault="00A829C5" w:rsidP="00A829C5">
      <w:pPr>
        <w:rPr>
          <w:lang w:eastAsia="en-US"/>
        </w:rPr>
      </w:pPr>
      <w:r>
        <w:rPr>
          <w:lang w:eastAsia="en-US"/>
        </w:rPr>
        <w:t>The purpose of this paper is to provide insight into the current ecosystem of FR1 VSAT-like terminals and to describe test methodologies for the antenna systems for this type of terminal.</w:t>
      </w:r>
    </w:p>
    <w:p w14:paraId="4B8C2942" w14:textId="77777777" w:rsidR="00160D0A" w:rsidRPr="004F5C4E" w:rsidRDefault="00160D0A" w:rsidP="00160D0A">
      <w:pPr>
        <w:pStyle w:val="BodyText"/>
        <w:spacing w:after="0"/>
        <w:contextualSpacing/>
        <w:rPr>
          <w:rFonts w:ascii="Times New Roman" w:eastAsia="Times New Roman" w:hAnsi="Times New Roman"/>
          <w:bCs/>
          <w:szCs w:val="20"/>
          <w:lang w:val="en-GB" w:eastAsia="zh-CN"/>
        </w:rPr>
      </w:pPr>
    </w:p>
    <w:p w14:paraId="5B17AD74" w14:textId="77777777" w:rsidR="00160D0A" w:rsidRDefault="00160D0A" w:rsidP="00160D0A">
      <w:pPr>
        <w:pStyle w:val="Heading1"/>
        <w:numPr>
          <w:ilvl w:val="0"/>
          <w:numId w:val="1"/>
        </w:numPr>
        <w:tabs>
          <w:tab w:val="num" w:pos="360"/>
        </w:tabs>
        <w:spacing w:before="0" w:after="240"/>
        <w:ind w:left="1134" w:hanging="1134"/>
        <w:jc w:val="both"/>
        <w:rPr>
          <w:rFonts w:cs="Arial"/>
          <w:smallCaps/>
          <w:lang w:val="en-US"/>
        </w:rPr>
      </w:pPr>
      <w:r>
        <w:rPr>
          <w:rFonts w:cs="Arial"/>
          <w:smallCaps/>
          <w:lang w:val="en-US"/>
        </w:rPr>
        <w:t>Discussion</w:t>
      </w:r>
    </w:p>
    <w:p w14:paraId="0FD5B826" w14:textId="537739C6" w:rsidR="00A829C5" w:rsidRDefault="001C0958" w:rsidP="001C0958">
      <w:pPr>
        <w:pStyle w:val="Heading2"/>
        <w:rPr>
          <w:lang w:val="en-US"/>
        </w:rPr>
      </w:pPr>
      <w:r>
        <w:rPr>
          <w:lang w:val="en-US"/>
        </w:rPr>
        <w:t xml:space="preserve">2.1 </w:t>
      </w:r>
      <w:r w:rsidR="00C24377">
        <w:rPr>
          <w:lang w:val="en-US"/>
        </w:rPr>
        <w:t>Terminal 1 – iSatHub</w:t>
      </w:r>
    </w:p>
    <w:p w14:paraId="0997F30D" w14:textId="77777777" w:rsidR="00F3609E" w:rsidRDefault="00F3609E" w:rsidP="00F3609E">
      <w:pPr>
        <w:rPr>
          <w:lang w:eastAsia="en-US"/>
        </w:rPr>
      </w:pPr>
      <w:r>
        <w:rPr>
          <w:lang w:eastAsia="en-US"/>
        </w:rPr>
        <w:t>The first VSAT like terminal is the iSatHub:</w:t>
      </w:r>
    </w:p>
    <w:p w14:paraId="1884146B" w14:textId="77777777" w:rsidR="00715751" w:rsidRDefault="00715751" w:rsidP="00715751">
      <w:pPr>
        <w:keepNext/>
        <w:jc w:val="center"/>
      </w:pPr>
      <w:r>
        <w:rPr>
          <w:noProof/>
        </w:rPr>
        <w:drawing>
          <wp:inline distT="0" distB="0" distL="0" distR="0" wp14:anchorId="3834F780" wp14:editId="6307AC42">
            <wp:extent cx="2856230" cy="2790190"/>
            <wp:effectExtent l="0" t="0" r="1270" b="0"/>
            <wp:docPr id="1716591204" name="Picture 1" descr="IsatHUB | Remote Satell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satHUB | Remote Satellit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6230" cy="2790190"/>
                    </a:xfrm>
                    <a:prstGeom prst="rect">
                      <a:avLst/>
                    </a:prstGeom>
                    <a:noFill/>
                    <a:ln>
                      <a:noFill/>
                    </a:ln>
                  </pic:spPr>
                </pic:pic>
              </a:graphicData>
            </a:graphic>
          </wp:inline>
        </w:drawing>
      </w:r>
    </w:p>
    <w:p w14:paraId="3B067330" w14:textId="65891761" w:rsidR="00C24377" w:rsidRDefault="00715751" w:rsidP="00715751">
      <w:pPr>
        <w:pStyle w:val="Caption"/>
        <w:jc w:val="center"/>
        <w:rPr>
          <w:b/>
          <w:bCs/>
        </w:rPr>
      </w:pPr>
      <w:r w:rsidRPr="00757980">
        <w:rPr>
          <w:b/>
          <w:bCs/>
        </w:rPr>
        <w:t xml:space="preserve">Figure </w:t>
      </w:r>
      <w:r w:rsidRPr="00757980">
        <w:rPr>
          <w:b/>
          <w:bCs/>
        </w:rPr>
        <w:fldChar w:fldCharType="begin"/>
      </w:r>
      <w:r w:rsidRPr="00757980">
        <w:rPr>
          <w:b/>
          <w:bCs/>
        </w:rPr>
        <w:instrText xml:space="preserve"> SEQ Figure \* ARABIC </w:instrText>
      </w:r>
      <w:r w:rsidRPr="00757980">
        <w:rPr>
          <w:b/>
          <w:bCs/>
        </w:rPr>
        <w:fldChar w:fldCharType="separate"/>
      </w:r>
      <w:r w:rsidR="00AC7E68">
        <w:rPr>
          <w:b/>
          <w:bCs/>
          <w:noProof/>
        </w:rPr>
        <w:t>1</w:t>
      </w:r>
      <w:r w:rsidRPr="00757980">
        <w:rPr>
          <w:b/>
          <w:bCs/>
        </w:rPr>
        <w:fldChar w:fldCharType="end"/>
      </w:r>
      <w:r w:rsidRPr="00757980">
        <w:rPr>
          <w:b/>
          <w:bCs/>
        </w:rPr>
        <w:t xml:space="preserve"> iSatHub</w:t>
      </w:r>
    </w:p>
    <w:p w14:paraId="7C6F39F1" w14:textId="7DC98B72" w:rsidR="00BE4D91" w:rsidRDefault="00BE4D91" w:rsidP="00BE4D91">
      <w:pPr>
        <w:rPr>
          <w:lang w:eastAsia="en-US"/>
        </w:rPr>
      </w:pPr>
      <w:r>
        <w:rPr>
          <w:lang w:eastAsia="en-US"/>
        </w:rPr>
        <w:t>Upon initial setup, this terminal requires the user to position it at a specified angle through the use of indicative LEDs, it then utilised beam switching from multiple antennas placed around the terminal in order to achieve pointing. N.B. this terminal operates over a GSO satellite system, so does not need to be particularly agile in its antenna switching.</w:t>
      </w:r>
    </w:p>
    <w:p w14:paraId="1CA6F413" w14:textId="3D5FDC73" w:rsidR="00BE4D91" w:rsidRDefault="00BE4D91" w:rsidP="00BE4D91">
      <w:pPr>
        <w:rPr>
          <w:lang w:eastAsia="en-US"/>
        </w:rPr>
      </w:pPr>
      <w:r>
        <w:rPr>
          <w:lang w:eastAsia="en-US"/>
        </w:rPr>
        <w:t>The antenna in this system is an array of multiple directional patch antennas, each one has a gain of 8dBi, with a PA output power of 32dBm (1.5W) resulting in an EIRP of 40dBm. It is anticipated that future devices of this form factor will incorporate phased arrays to support NGSO, and allows for agile, high resolution beam-steering to support connectivity to these satellites.</w:t>
      </w:r>
    </w:p>
    <w:p w14:paraId="4BEE37CC" w14:textId="77777777" w:rsidR="00BE4D91" w:rsidRDefault="00BE4D91" w:rsidP="00BE4D91">
      <w:pPr>
        <w:rPr>
          <w:lang w:eastAsia="en-US"/>
        </w:rPr>
      </w:pPr>
      <w:r>
        <w:rPr>
          <w:lang w:eastAsia="en-US"/>
        </w:rPr>
        <w:t>The iSatHub provides a satellite tethering service, users can connect to the terminal’s Wi-Fi hotspot to access connectivity services.</w:t>
      </w:r>
    </w:p>
    <w:p w14:paraId="6347190C" w14:textId="6225EC60" w:rsidR="007C1261" w:rsidRDefault="007C1261" w:rsidP="007C1261">
      <w:pPr>
        <w:pStyle w:val="Heading3"/>
        <w:rPr>
          <w:lang w:eastAsia="en-US"/>
        </w:rPr>
      </w:pPr>
      <w:r>
        <w:rPr>
          <w:lang w:eastAsia="en-US"/>
        </w:rPr>
        <w:t>2.1.1 Conclusion</w:t>
      </w:r>
    </w:p>
    <w:p w14:paraId="77B4F20D" w14:textId="77777777" w:rsidR="001E12AF" w:rsidRPr="00232E0F" w:rsidRDefault="001E12AF" w:rsidP="001E12AF">
      <w:pPr>
        <w:rPr>
          <w:lang w:eastAsia="en-US"/>
        </w:rPr>
      </w:pPr>
      <w:r>
        <w:rPr>
          <w:lang w:eastAsia="en-US"/>
        </w:rPr>
        <w:t>This type of terminal is a small form factor device with a higher gain antenna than that of a mobile handset, it can be used to provide an enhanced service to a hotspot. It is anticipated that this type of device may use beamforming and phased array antennas to achieve an even higher EIRP and Rx gain to improve performance further.</w:t>
      </w:r>
    </w:p>
    <w:p w14:paraId="23EE5F86" w14:textId="472CF862" w:rsidR="007C1261" w:rsidRDefault="001E12AF" w:rsidP="007C1261">
      <w:pPr>
        <w:rPr>
          <w:i/>
          <w:iCs/>
          <w:lang w:eastAsia="en-US"/>
        </w:rPr>
      </w:pPr>
      <w:r>
        <w:rPr>
          <w:b/>
          <w:bCs/>
          <w:i/>
          <w:iCs/>
          <w:lang w:eastAsia="en-US"/>
        </w:rPr>
        <w:t xml:space="preserve">Observation 1: </w:t>
      </w:r>
      <w:r>
        <w:rPr>
          <w:i/>
          <w:iCs/>
          <w:lang w:eastAsia="en-US"/>
        </w:rPr>
        <w:t>NTN devices may include small form factor switched antenna / phased array devices with p</w:t>
      </w:r>
      <w:r w:rsidR="00CB4655">
        <w:rPr>
          <w:i/>
          <w:iCs/>
          <w:lang w:eastAsia="en-US"/>
        </w:rPr>
        <w:t>ointing aids to provide high data rate services.</w:t>
      </w:r>
      <w:r w:rsidR="00864DEB">
        <w:rPr>
          <w:i/>
          <w:iCs/>
          <w:lang w:eastAsia="en-US"/>
        </w:rPr>
        <w:t xml:space="preserve"> In the case of the iSatHub, a VSAT-like device in FR1 that utilises antenna switching and pointing aids for the purpose of user tethering has an EIRP of 40dBm and an antenna gain of 8dBi.</w:t>
      </w:r>
    </w:p>
    <w:p w14:paraId="78DD2CFF" w14:textId="3C020DF3" w:rsidR="00CB4655" w:rsidRDefault="00FD1194" w:rsidP="00FD1194">
      <w:pPr>
        <w:pStyle w:val="Heading2"/>
        <w:rPr>
          <w:lang w:eastAsia="en-US"/>
        </w:rPr>
      </w:pPr>
      <w:r>
        <w:rPr>
          <w:lang w:eastAsia="en-US"/>
        </w:rPr>
        <w:t xml:space="preserve">2.2 Terminal 2 </w:t>
      </w:r>
      <w:r w:rsidR="00CB73C4">
        <w:rPr>
          <w:lang w:eastAsia="en-US"/>
        </w:rPr>
        <w:t>–</w:t>
      </w:r>
      <w:r>
        <w:rPr>
          <w:lang w:eastAsia="en-US"/>
        </w:rPr>
        <w:t xml:space="preserve"> </w:t>
      </w:r>
      <w:r w:rsidR="00CB73C4">
        <w:rPr>
          <w:lang w:eastAsia="en-US"/>
        </w:rPr>
        <w:t>Phased Array Panel</w:t>
      </w:r>
    </w:p>
    <w:p w14:paraId="035FEE5D" w14:textId="013B2644" w:rsidR="00864DEB" w:rsidRDefault="009F5D01" w:rsidP="009F5D01">
      <w:pPr>
        <w:rPr>
          <w:lang w:eastAsia="en-US"/>
        </w:rPr>
      </w:pPr>
      <w:r>
        <w:rPr>
          <w:lang w:eastAsia="en-US"/>
        </w:rPr>
        <w:t xml:space="preserve">This terminal has a 2x2 phased array, with each element being a circular patch antenna enabling radio transmissions using Right Hand Circular Polarisation (RHCP). </w:t>
      </w:r>
    </w:p>
    <w:p w14:paraId="7272C630" w14:textId="77777777" w:rsidR="009F5D01" w:rsidRDefault="009F5D01" w:rsidP="009F5D01">
      <w:pPr>
        <w:rPr>
          <w:lang w:eastAsia="en-US"/>
        </w:rPr>
      </w:pPr>
      <w:r>
        <w:rPr>
          <w:lang w:eastAsia="en-US"/>
        </w:rPr>
        <w:t>The gain values achieved for boresight pointing were as follows:</w:t>
      </w:r>
    </w:p>
    <w:p w14:paraId="582C1494" w14:textId="77777777" w:rsidR="00FC50DF" w:rsidRDefault="00FC50DF" w:rsidP="00FC50DF">
      <w:pPr>
        <w:keepNext/>
        <w:jc w:val="center"/>
      </w:pPr>
      <w:r>
        <w:rPr>
          <w:noProof/>
        </w:rPr>
        <w:drawing>
          <wp:inline distT="0" distB="0" distL="0" distR="0" wp14:anchorId="7A0A7847" wp14:editId="7EB53E77">
            <wp:extent cx="4653116" cy="2777483"/>
            <wp:effectExtent l="0" t="0" r="0" b="4445"/>
            <wp:docPr id="130969026" name="Picture 1" descr="A graph of a graph with number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69026" name="Picture 1" descr="A graph of a graph with numbers and lines&#10;&#10;Description automatically generated with medium confidence"/>
                    <pic:cNvPicPr/>
                  </pic:nvPicPr>
                  <pic:blipFill>
                    <a:blip r:embed="rId12"/>
                    <a:stretch>
                      <a:fillRect/>
                    </a:stretch>
                  </pic:blipFill>
                  <pic:spPr>
                    <a:xfrm>
                      <a:off x="0" y="0"/>
                      <a:ext cx="4653116" cy="2777483"/>
                    </a:xfrm>
                    <a:prstGeom prst="rect">
                      <a:avLst/>
                    </a:prstGeom>
                  </pic:spPr>
                </pic:pic>
              </a:graphicData>
            </a:graphic>
          </wp:inline>
        </w:drawing>
      </w:r>
    </w:p>
    <w:p w14:paraId="213B6E73" w14:textId="6BABB281" w:rsidR="00CB73C4" w:rsidRDefault="00FC50DF" w:rsidP="00FC50DF">
      <w:pPr>
        <w:pStyle w:val="Caption"/>
        <w:jc w:val="center"/>
        <w:rPr>
          <w:b/>
          <w:bCs/>
        </w:rPr>
      </w:pPr>
      <w:r w:rsidRPr="00FC50DF">
        <w:rPr>
          <w:b/>
          <w:bCs/>
        </w:rPr>
        <w:t xml:space="preserve">Figure </w:t>
      </w:r>
      <w:r w:rsidRPr="00FC50DF">
        <w:rPr>
          <w:b/>
          <w:bCs/>
        </w:rPr>
        <w:fldChar w:fldCharType="begin"/>
      </w:r>
      <w:r w:rsidRPr="00FC50DF">
        <w:rPr>
          <w:b/>
          <w:bCs/>
        </w:rPr>
        <w:instrText xml:space="preserve"> SEQ Figure \* ARABIC </w:instrText>
      </w:r>
      <w:r w:rsidRPr="00FC50DF">
        <w:rPr>
          <w:b/>
          <w:bCs/>
        </w:rPr>
        <w:fldChar w:fldCharType="separate"/>
      </w:r>
      <w:r w:rsidR="00AC7E68">
        <w:rPr>
          <w:b/>
          <w:bCs/>
          <w:noProof/>
        </w:rPr>
        <w:t>2</w:t>
      </w:r>
      <w:r w:rsidRPr="00FC50DF">
        <w:rPr>
          <w:b/>
          <w:bCs/>
        </w:rPr>
        <w:fldChar w:fldCharType="end"/>
      </w:r>
      <w:r w:rsidRPr="00FC50DF">
        <w:rPr>
          <w:b/>
          <w:bCs/>
        </w:rPr>
        <w:t xml:space="preserve"> Rx Band Antenna Gain</w:t>
      </w:r>
    </w:p>
    <w:p w14:paraId="5572F7EE" w14:textId="77777777" w:rsidR="00525786" w:rsidRDefault="00525786" w:rsidP="00525786">
      <w:pPr>
        <w:keepNext/>
        <w:jc w:val="center"/>
      </w:pPr>
      <w:r>
        <w:rPr>
          <w:noProof/>
        </w:rPr>
        <w:drawing>
          <wp:inline distT="0" distB="0" distL="0" distR="0" wp14:anchorId="1C86BFEF" wp14:editId="787DF29C">
            <wp:extent cx="4623620" cy="2676403"/>
            <wp:effectExtent l="0" t="0" r="5715" b="0"/>
            <wp:docPr id="385487583" name="Picture 1" descr="A graph of a graph with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487583" name="Picture 1" descr="A graph of a graph with numbers and a line&#10;&#10;Description automatically generated"/>
                    <pic:cNvPicPr/>
                  </pic:nvPicPr>
                  <pic:blipFill>
                    <a:blip r:embed="rId13"/>
                    <a:stretch>
                      <a:fillRect/>
                    </a:stretch>
                  </pic:blipFill>
                  <pic:spPr>
                    <a:xfrm>
                      <a:off x="0" y="0"/>
                      <a:ext cx="4656792" cy="2695605"/>
                    </a:xfrm>
                    <a:prstGeom prst="rect">
                      <a:avLst/>
                    </a:prstGeom>
                  </pic:spPr>
                </pic:pic>
              </a:graphicData>
            </a:graphic>
          </wp:inline>
        </w:drawing>
      </w:r>
    </w:p>
    <w:p w14:paraId="6B4A9F0A" w14:textId="49CDE256" w:rsidR="00FC50DF" w:rsidRDefault="00525786" w:rsidP="00525786">
      <w:pPr>
        <w:pStyle w:val="Caption"/>
        <w:jc w:val="center"/>
        <w:rPr>
          <w:b/>
          <w:bCs/>
        </w:rPr>
      </w:pPr>
      <w:r w:rsidRPr="00525786">
        <w:rPr>
          <w:b/>
          <w:bCs/>
        </w:rPr>
        <w:t xml:space="preserve">Figure </w:t>
      </w:r>
      <w:r w:rsidRPr="00525786">
        <w:rPr>
          <w:b/>
          <w:bCs/>
        </w:rPr>
        <w:fldChar w:fldCharType="begin"/>
      </w:r>
      <w:r w:rsidRPr="00525786">
        <w:rPr>
          <w:b/>
          <w:bCs/>
        </w:rPr>
        <w:instrText xml:space="preserve"> SEQ Figure \* ARABIC </w:instrText>
      </w:r>
      <w:r w:rsidRPr="00525786">
        <w:rPr>
          <w:b/>
          <w:bCs/>
        </w:rPr>
        <w:fldChar w:fldCharType="separate"/>
      </w:r>
      <w:r w:rsidR="00AC7E68">
        <w:rPr>
          <w:b/>
          <w:bCs/>
          <w:noProof/>
        </w:rPr>
        <w:t>3</w:t>
      </w:r>
      <w:r w:rsidRPr="00525786">
        <w:rPr>
          <w:b/>
          <w:bCs/>
        </w:rPr>
        <w:fldChar w:fldCharType="end"/>
      </w:r>
      <w:r w:rsidRPr="00525786">
        <w:rPr>
          <w:b/>
          <w:bCs/>
        </w:rPr>
        <w:t xml:space="preserve"> Tx Band Antenna Gain</w:t>
      </w:r>
    </w:p>
    <w:p w14:paraId="4B8DE0F1" w14:textId="77777777" w:rsidR="00525786" w:rsidRDefault="00525786" w:rsidP="00525786">
      <w:pPr>
        <w:rPr>
          <w:lang w:eastAsia="en-US"/>
        </w:rPr>
      </w:pPr>
    </w:p>
    <w:p w14:paraId="5982AFF5" w14:textId="735B0FFB" w:rsidR="00525786" w:rsidRDefault="004929D6" w:rsidP="004929D6">
      <w:pPr>
        <w:pStyle w:val="Heading3"/>
        <w:rPr>
          <w:lang w:eastAsia="en-US"/>
        </w:rPr>
      </w:pPr>
      <w:r>
        <w:rPr>
          <w:lang w:eastAsia="en-US"/>
        </w:rPr>
        <w:t>2.2.1 Conclusion</w:t>
      </w:r>
    </w:p>
    <w:p w14:paraId="490A7AF2" w14:textId="77777777" w:rsidR="00E6276A" w:rsidRPr="00232E0F" w:rsidRDefault="00E6276A" w:rsidP="00E6276A">
      <w:pPr>
        <w:rPr>
          <w:lang w:eastAsia="en-US"/>
        </w:rPr>
      </w:pPr>
      <w:r>
        <w:rPr>
          <w:lang w:eastAsia="en-US"/>
        </w:rPr>
        <w:t>This type of device is a small form factor circularly polarised phased array, this antenna system combined with the concept of operation of the iSatHub would provide a high data rate tethering service in a small form factor.</w:t>
      </w:r>
    </w:p>
    <w:p w14:paraId="7E053035" w14:textId="15D4A503" w:rsidR="004929D6" w:rsidRDefault="00E6276A" w:rsidP="004929D6">
      <w:pPr>
        <w:rPr>
          <w:i/>
          <w:iCs/>
          <w:lang w:eastAsia="en-US"/>
        </w:rPr>
      </w:pPr>
      <w:r>
        <w:rPr>
          <w:b/>
          <w:bCs/>
          <w:i/>
          <w:iCs/>
          <w:lang w:eastAsia="en-US"/>
        </w:rPr>
        <w:t xml:space="preserve">Observation 2: </w:t>
      </w:r>
      <w:r>
        <w:rPr>
          <w:i/>
          <w:iCs/>
          <w:lang w:eastAsia="en-US"/>
        </w:rPr>
        <w:t xml:space="preserve">High gain antennas leveraging circular polarisation discrimination can be used to achieve </w:t>
      </w:r>
      <w:r w:rsidR="00FA55FA">
        <w:rPr>
          <w:i/>
          <w:iCs/>
          <w:lang w:eastAsia="en-US"/>
        </w:rPr>
        <w:t>a reliable high throughput system on a small form factor, with a relatively simple antenna design with some beamforming capability.</w:t>
      </w:r>
      <w:r w:rsidR="00864DEB">
        <w:rPr>
          <w:i/>
          <w:iCs/>
          <w:lang w:eastAsia="en-US"/>
        </w:rPr>
        <w:t xml:space="preserve"> In this case a small form factor phased array antenna with an RHCP antenna gain across the frequency band of interest of 13dBi for both Rx/Tx. The phased array enables some beamsteering capabilities.</w:t>
      </w:r>
    </w:p>
    <w:p w14:paraId="3B43056B" w14:textId="6282B396" w:rsidR="00FA55FA" w:rsidRDefault="004721C7" w:rsidP="004721C7">
      <w:pPr>
        <w:pStyle w:val="Heading2"/>
        <w:rPr>
          <w:lang w:eastAsia="en-US"/>
        </w:rPr>
      </w:pPr>
      <w:commentRangeStart w:id="2"/>
      <w:r>
        <w:rPr>
          <w:lang w:eastAsia="en-US"/>
        </w:rPr>
        <w:t xml:space="preserve">2.3 Terminal 3 </w:t>
      </w:r>
      <w:r w:rsidR="00644392">
        <w:rPr>
          <w:lang w:eastAsia="en-US"/>
        </w:rPr>
        <w:t>–</w:t>
      </w:r>
      <w:r>
        <w:rPr>
          <w:lang w:eastAsia="en-US"/>
        </w:rPr>
        <w:t xml:space="preserve"> </w:t>
      </w:r>
      <w:r w:rsidR="00644392">
        <w:rPr>
          <w:lang w:eastAsia="en-US"/>
        </w:rPr>
        <w:t>iSatPhone</w:t>
      </w:r>
      <w:commentRangeEnd w:id="2"/>
      <w:r w:rsidR="00C904B4">
        <w:rPr>
          <w:rStyle w:val="CommentReference"/>
          <w:rFonts w:ascii="Times New Roman" w:hAnsi="Times New Roman"/>
        </w:rPr>
        <w:commentReference w:id="2"/>
      </w:r>
    </w:p>
    <w:p w14:paraId="58336559" w14:textId="5E77D7F2" w:rsidR="00644392" w:rsidRDefault="00833993" w:rsidP="00644392">
      <w:pPr>
        <w:rPr>
          <w:lang w:eastAsia="en-US"/>
        </w:rPr>
      </w:pPr>
      <w:r>
        <w:rPr>
          <w:lang w:eastAsia="en-US"/>
        </w:rPr>
        <w:t xml:space="preserve">The iSatPhone is a handheld satellite phone operating over GSO. It is a class of safety device specified by Inmarsat, GSPS, which has a </w:t>
      </w:r>
      <w:r w:rsidR="000E218A">
        <w:rPr>
          <w:lang w:eastAsia="en-US"/>
        </w:rPr>
        <w:t xml:space="preserve">conducted </w:t>
      </w:r>
      <w:r>
        <w:rPr>
          <w:lang w:eastAsia="en-US"/>
        </w:rPr>
        <w:t xml:space="preserve">maximum </w:t>
      </w:r>
      <w:r w:rsidR="000E218A">
        <w:rPr>
          <w:lang w:eastAsia="en-US"/>
        </w:rPr>
        <w:t>output</w:t>
      </w:r>
      <w:r>
        <w:rPr>
          <w:lang w:eastAsia="en-US"/>
        </w:rPr>
        <w:t xml:space="preserve"> power of 34.5dBm.</w:t>
      </w:r>
    </w:p>
    <w:p w14:paraId="0A0EA43E" w14:textId="77777777" w:rsidR="0033715C" w:rsidRDefault="0033715C" w:rsidP="0033715C">
      <w:pPr>
        <w:keepNext/>
        <w:jc w:val="center"/>
      </w:pPr>
      <w:r>
        <w:rPr>
          <w:noProof/>
        </w:rPr>
        <w:drawing>
          <wp:inline distT="0" distB="0" distL="0" distR="0" wp14:anchorId="142AB685" wp14:editId="45A8B946">
            <wp:extent cx="6120130" cy="4516120"/>
            <wp:effectExtent l="0" t="0" r="0" b="0"/>
            <wp:docPr id="858646562" name="Picture 2" descr="Inmarsat IsatPhone 2 Satellite Phone - Handset Only / Handset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marsat IsatPhone 2 Satellite Phone - Handset Only / Handset Onl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130" cy="4516120"/>
                    </a:xfrm>
                    <a:prstGeom prst="rect">
                      <a:avLst/>
                    </a:prstGeom>
                    <a:noFill/>
                    <a:ln>
                      <a:noFill/>
                    </a:ln>
                  </pic:spPr>
                </pic:pic>
              </a:graphicData>
            </a:graphic>
          </wp:inline>
        </w:drawing>
      </w:r>
    </w:p>
    <w:p w14:paraId="163671ED" w14:textId="62EDCB9E" w:rsidR="0033715C" w:rsidRDefault="0033715C" w:rsidP="0033715C">
      <w:pPr>
        <w:pStyle w:val="Caption"/>
        <w:jc w:val="center"/>
        <w:rPr>
          <w:b/>
          <w:bCs/>
        </w:rPr>
      </w:pPr>
      <w:r w:rsidRPr="0033715C">
        <w:rPr>
          <w:b/>
          <w:bCs/>
        </w:rPr>
        <w:t xml:space="preserve">Figure </w:t>
      </w:r>
      <w:r w:rsidRPr="0033715C">
        <w:rPr>
          <w:b/>
          <w:bCs/>
        </w:rPr>
        <w:fldChar w:fldCharType="begin"/>
      </w:r>
      <w:r w:rsidRPr="0033715C">
        <w:rPr>
          <w:b/>
          <w:bCs/>
        </w:rPr>
        <w:instrText xml:space="preserve"> SEQ Figure \* ARABIC </w:instrText>
      </w:r>
      <w:r w:rsidRPr="0033715C">
        <w:rPr>
          <w:b/>
          <w:bCs/>
        </w:rPr>
        <w:fldChar w:fldCharType="separate"/>
      </w:r>
      <w:r w:rsidR="00AC7E68">
        <w:rPr>
          <w:b/>
          <w:bCs/>
          <w:noProof/>
        </w:rPr>
        <w:t>4</w:t>
      </w:r>
      <w:r w:rsidRPr="0033715C">
        <w:rPr>
          <w:b/>
          <w:bCs/>
        </w:rPr>
        <w:fldChar w:fldCharType="end"/>
      </w:r>
      <w:r w:rsidRPr="0033715C">
        <w:rPr>
          <w:b/>
          <w:bCs/>
        </w:rPr>
        <w:t xml:space="preserve"> iSatPhone</w:t>
      </w:r>
    </w:p>
    <w:p w14:paraId="408BE209" w14:textId="77777777" w:rsidR="000A556B" w:rsidRDefault="000A556B" w:rsidP="000A556B">
      <w:pPr>
        <w:rPr>
          <w:lang w:eastAsia="en-US"/>
        </w:rPr>
      </w:pPr>
      <w:r>
        <w:rPr>
          <w:lang w:eastAsia="en-US"/>
        </w:rPr>
        <w:t>The minimum EIRP requirement for this type of device is high for low elevations and for high elevations there is a gradual 1dB relaxation due to the lessened attenuation to radio signals at higher elevations. For the extended L-band n253, the requirement is relaxed by a further 2dB:</w:t>
      </w:r>
    </w:p>
    <w:p w14:paraId="6BDDEF7F" w14:textId="77777777" w:rsidR="00D75C71" w:rsidRDefault="00D75C71" w:rsidP="00D75C71">
      <w:pPr>
        <w:keepNext/>
        <w:jc w:val="center"/>
      </w:pPr>
      <w:r>
        <w:rPr>
          <w:noProof/>
        </w:rPr>
        <w:drawing>
          <wp:inline distT="0" distB="0" distL="0" distR="0" wp14:anchorId="5280A444" wp14:editId="2C2AACA1">
            <wp:extent cx="4741101" cy="2833937"/>
            <wp:effectExtent l="0" t="0" r="2540" b="5080"/>
            <wp:docPr id="1381458552" name="Picture 1" descr="A graph of a number of individu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458552" name="Picture 1" descr="A graph of a number of individuals&#10;&#10;Description automatically generated with medium confidence"/>
                    <pic:cNvPicPr/>
                  </pic:nvPicPr>
                  <pic:blipFill>
                    <a:blip r:embed="rId19"/>
                    <a:stretch>
                      <a:fillRect/>
                    </a:stretch>
                  </pic:blipFill>
                  <pic:spPr>
                    <a:xfrm>
                      <a:off x="0" y="0"/>
                      <a:ext cx="4743536" cy="2835392"/>
                    </a:xfrm>
                    <a:prstGeom prst="rect">
                      <a:avLst/>
                    </a:prstGeom>
                  </pic:spPr>
                </pic:pic>
              </a:graphicData>
            </a:graphic>
          </wp:inline>
        </w:drawing>
      </w:r>
    </w:p>
    <w:p w14:paraId="28F47996" w14:textId="668F5FFD" w:rsidR="0033715C" w:rsidRPr="00D75C71" w:rsidRDefault="00D75C71" w:rsidP="00D75C71">
      <w:pPr>
        <w:pStyle w:val="Caption"/>
        <w:jc w:val="center"/>
        <w:rPr>
          <w:b/>
          <w:bCs/>
          <w:lang w:eastAsia="en-US"/>
        </w:rPr>
      </w:pPr>
      <w:r w:rsidRPr="00D75C71">
        <w:rPr>
          <w:b/>
          <w:bCs/>
        </w:rPr>
        <w:t xml:space="preserve">Figure </w:t>
      </w:r>
      <w:r w:rsidRPr="00D75C71">
        <w:rPr>
          <w:b/>
          <w:bCs/>
        </w:rPr>
        <w:fldChar w:fldCharType="begin"/>
      </w:r>
      <w:r w:rsidRPr="00D75C71">
        <w:rPr>
          <w:b/>
          <w:bCs/>
        </w:rPr>
        <w:instrText xml:space="preserve"> SEQ Figure \* ARABIC </w:instrText>
      </w:r>
      <w:r w:rsidRPr="00D75C71">
        <w:rPr>
          <w:b/>
          <w:bCs/>
        </w:rPr>
        <w:fldChar w:fldCharType="separate"/>
      </w:r>
      <w:r w:rsidR="00AC7E68">
        <w:rPr>
          <w:b/>
          <w:bCs/>
          <w:noProof/>
        </w:rPr>
        <w:t>5</w:t>
      </w:r>
      <w:r w:rsidRPr="00D75C71">
        <w:rPr>
          <w:b/>
          <w:bCs/>
        </w:rPr>
        <w:fldChar w:fldCharType="end"/>
      </w:r>
      <w:r w:rsidRPr="00D75C71">
        <w:rPr>
          <w:b/>
          <w:bCs/>
        </w:rPr>
        <w:t xml:space="preserve"> GSPS Minimum EIRP Requirements</w:t>
      </w:r>
    </w:p>
    <w:p w14:paraId="0ED2C0AE" w14:textId="7057B296" w:rsidR="003D5D0B" w:rsidRDefault="003D5D0B" w:rsidP="003D5D0B">
      <w:pPr>
        <w:rPr>
          <w:lang w:eastAsia="en-US"/>
        </w:rPr>
      </w:pPr>
      <w:r>
        <w:rPr>
          <w:lang w:eastAsia="en-US"/>
        </w:rPr>
        <w:t>The maximum EIRP for this device is 11dBW.</w:t>
      </w:r>
    </w:p>
    <w:p w14:paraId="46368CE8" w14:textId="77777777" w:rsidR="003D5D0B" w:rsidRDefault="003D5D0B" w:rsidP="003D5D0B">
      <w:pPr>
        <w:rPr>
          <w:lang w:eastAsia="en-US"/>
        </w:rPr>
      </w:pPr>
      <w:r>
        <w:rPr>
          <w:lang w:eastAsia="en-US"/>
        </w:rPr>
        <w:t>The iSatPhone uses a GUI as a pointing aid to aid the user in pointing the terminal in the vague direction of the satellite, and it is always assumed the user will be using the satellite phone while it is upright with the top of the device pointing towards zenith. Hence, the antenna can have an upper hemisphere bias.</w:t>
      </w:r>
    </w:p>
    <w:p w14:paraId="1DD203B4" w14:textId="628B7EAF" w:rsidR="004E5977" w:rsidRDefault="004E5977" w:rsidP="004E5977">
      <w:pPr>
        <w:rPr>
          <w:lang w:eastAsia="en-US"/>
        </w:rPr>
      </w:pPr>
      <w:r>
        <w:rPr>
          <w:lang w:eastAsia="en-US"/>
        </w:rPr>
        <w:t xml:space="preserve">Considering </w:t>
      </w:r>
      <w:r w:rsidR="001E168A">
        <w:rPr>
          <w:lang w:eastAsia="en-US"/>
        </w:rPr>
        <w:t>a conducted</w:t>
      </w:r>
      <w:r>
        <w:rPr>
          <w:lang w:eastAsia="en-US"/>
        </w:rPr>
        <w:t xml:space="preserve"> maximum </w:t>
      </w:r>
      <w:r w:rsidR="001E168A">
        <w:rPr>
          <w:lang w:eastAsia="en-US"/>
        </w:rPr>
        <w:t>output</w:t>
      </w:r>
      <w:r>
        <w:rPr>
          <w:lang w:eastAsia="en-US"/>
        </w:rPr>
        <w:t xml:space="preserve"> power of 34.5dBm, and the EIRP requirement the antenna gain profile is as follows, which are very similar to that of the receive antenna gain requirements:</w:t>
      </w:r>
    </w:p>
    <w:p w14:paraId="1128E8AD" w14:textId="77777777" w:rsidR="003F5140" w:rsidRDefault="00BD16BA" w:rsidP="003F5140">
      <w:pPr>
        <w:keepNext/>
        <w:jc w:val="center"/>
      </w:pPr>
      <w:r>
        <w:rPr>
          <w:noProof/>
        </w:rPr>
        <w:drawing>
          <wp:inline distT="0" distB="0" distL="0" distR="0" wp14:anchorId="6362583A" wp14:editId="4EDFA467">
            <wp:extent cx="4546948" cy="2677783"/>
            <wp:effectExtent l="0" t="0" r="6350" b="8890"/>
            <wp:docPr id="587640395" name="Picture 1" descr="A graph with green and purpl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40395" name="Picture 1" descr="A graph with green and purple lines&#10;&#10;Description automatically generated"/>
                    <pic:cNvPicPr/>
                  </pic:nvPicPr>
                  <pic:blipFill>
                    <a:blip r:embed="rId20"/>
                    <a:stretch>
                      <a:fillRect/>
                    </a:stretch>
                  </pic:blipFill>
                  <pic:spPr>
                    <a:xfrm>
                      <a:off x="0" y="0"/>
                      <a:ext cx="4566891" cy="2689528"/>
                    </a:xfrm>
                    <a:prstGeom prst="rect">
                      <a:avLst/>
                    </a:prstGeom>
                  </pic:spPr>
                </pic:pic>
              </a:graphicData>
            </a:graphic>
          </wp:inline>
        </w:drawing>
      </w:r>
    </w:p>
    <w:p w14:paraId="24384594" w14:textId="63D10856" w:rsidR="004E5977" w:rsidRPr="003F5140" w:rsidRDefault="003F5140" w:rsidP="003F5140">
      <w:pPr>
        <w:pStyle w:val="Caption"/>
        <w:jc w:val="center"/>
        <w:rPr>
          <w:b/>
          <w:bCs/>
          <w:lang w:eastAsia="en-US"/>
        </w:rPr>
      </w:pPr>
      <w:r w:rsidRPr="003F5140">
        <w:rPr>
          <w:b/>
          <w:bCs/>
        </w:rPr>
        <w:t xml:space="preserve">Figure </w:t>
      </w:r>
      <w:r w:rsidRPr="003F5140">
        <w:rPr>
          <w:b/>
          <w:bCs/>
        </w:rPr>
        <w:fldChar w:fldCharType="begin"/>
      </w:r>
      <w:r w:rsidRPr="003F5140">
        <w:rPr>
          <w:b/>
          <w:bCs/>
        </w:rPr>
        <w:instrText xml:space="preserve"> SEQ Figure \* ARABIC </w:instrText>
      </w:r>
      <w:r w:rsidRPr="003F5140">
        <w:rPr>
          <w:b/>
          <w:bCs/>
        </w:rPr>
        <w:fldChar w:fldCharType="separate"/>
      </w:r>
      <w:r w:rsidR="00AC7E68">
        <w:rPr>
          <w:b/>
          <w:bCs/>
          <w:noProof/>
        </w:rPr>
        <w:t>6</w:t>
      </w:r>
      <w:r w:rsidRPr="003F5140">
        <w:rPr>
          <w:b/>
          <w:bCs/>
        </w:rPr>
        <w:fldChar w:fldCharType="end"/>
      </w:r>
      <w:r w:rsidRPr="003F5140">
        <w:rPr>
          <w:b/>
          <w:bCs/>
        </w:rPr>
        <w:t xml:space="preserve"> Antenna Gain Requirements GSPS</w:t>
      </w:r>
    </w:p>
    <w:p w14:paraId="42C512DE" w14:textId="77777777" w:rsidR="00CF4FAA" w:rsidRDefault="00CF4FAA" w:rsidP="00CF4FAA">
      <w:pPr>
        <w:rPr>
          <w:lang w:eastAsia="en-US"/>
        </w:rPr>
      </w:pPr>
      <w:r>
        <w:rPr>
          <w:lang w:eastAsia="en-US"/>
        </w:rPr>
        <w:t>In order for 3GPP power classes (proposed PC1 at 31dBm and PC3 at 23dBm) to provide the same EIRP towards the satellite as this system, the following minimum antenna gain values must be used:</w:t>
      </w:r>
    </w:p>
    <w:p w14:paraId="4222F3A3" w14:textId="77777777" w:rsidR="003F5140" w:rsidRDefault="003F5140" w:rsidP="003F5140">
      <w:pPr>
        <w:keepNext/>
        <w:jc w:val="center"/>
      </w:pPr>
      <w:r>
        <w:rPr>
          <w:noProof/>
        </w:rPr>
        <w:drawing>
          <wp:inline distT="0" distB="0" distL="0" distR="0" wp14:anchorId="1BB6843A" wp14:editId="43FB53C0">
            <wp:extent cx="4421687" cy="2664573"/>
            <wp:effectExtent l="0" t="0" r="0" b="2540"/>
            <wp:docPr id="10675064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640" name="Picture 1" descr="A graph of different colored lines&#10;&#10;Description automatically generated"/>
                    <pic:cNvPicPr/>
                  </pic:nvPicPr>
                  <pic:blipFill>
                    <a:blip r:embed="rId21"/>
                    <a:stretch>
                      <a:fillRect/>
                    </a:stretch>
                  </pic:blipFill>
                  <pic:spPr>
                    <a:xfrm>
                      <a:off x="0" y="0"/>
                      <a:ext cx="4425026" cy="2666585"/>
                    </a:xfrm>
                    <a:prstGeom prst="rect">
                      <a:avLst/>
                    </a:prstGeom>
                  </pic:spPr>
                </pic:pic>
              </a:graphicData>
            </a:graphic>
          </wp:inline>
        </w:drawing>
      </w:r>
    </w:p>
    <w:p w14:paraId="2CFD1165" w14:textId="07D06EEF" w:rsidR="00D75C71" w:rsidRDefault="003F5140" w:rsidP="003F5140">
      <w:pPr>
        <w:pStyle w:val="Caption"/>
        <w:jc w:val="center"/>
        <w:rPr>
          <w:b/>
          <w:bCs/>
        </w:rPr>
      </w:pPr>
      <w:r w:rsidRPr="003F5140">
        <w:rPr>
          <w:b/>
          <w:bCs/>
        </w:rPr>
        <w:t xml:space="preserve">Figure </w:t>
      </w:r>
      <w:r w:rsidRPr="003F5140">
        <w:rPr>
          <w:b/>
          <w:bCs/>
        </w:rPr>
        <w:fldChar w:fldCharType="begin"/>
      </w:r>
      <w:r w:rsidRPr="003F5140">
        <w:rPr>
          <w:b/>
          <w:bCs/>
        </w:rPr>
        <w:instrText xml:space="preserve"> SEQ Figure \* ARABIC </w:instrText>
      </w:r>
      <w:r w:rsidRPr="003F5140">
        <w:rPr>
          <w:b/>
          <w:bCs/>
        </w:rPr>
        <w:fldChar w:fldCharType="separate"/>
      </w:r>
      <w:r w:rsidR="00AC7E68">
        <w:rPr>
          <w:b/>
          <w:bCs/>
          <w:noProof/>
        </w:rPr>
        <w:t>7</w:t>
      </w:r>
      <w:r w:rsidRPr="003F5140">
        <w:rPr>
          <w:b/>
          <w:bCs/>
        </w:rPr>
        <w:fldChar w:fldCharType="end"/>
      </w:r>
      <w:r w:rsidRPr="003F5140">
        <w:rPr>
          <w:b/>
          <w:bCs/>
        </w:rPr>
        <w:t xml:space="preserve"> 3GPP Specified PC Gain Requirementss to Meet GSPS Specification</w:t>
      </w:r>
    </w:p>
    <w:p w14:paraId="7D9FD870" w14:textId="77777777" w:rsidR="00016D97" w:rsidRDefault="00016D97" w:rsidP="00016D97">
      <w:pPr>
        <w:rPr>
          <w:lang w:eastAsia="en-US"/>
        </w:rPr>
      </w:pPr>
      <w:r>
        <w:rPr>
          <w:lang w:eastAsia="en-US"/>
        </w:rPr>
        <w:t>As seen from the plot above, in order to meet the same transmit EIRP as the GSPS device the antenna gain must be up to 13dBi for PC3 in n255.</w:t>
      </w:r>
    </w:p>
    <w:p w14:paraId="72A20E4A" w14:textId="2D3B28DB" w:rsidR="003F5140" w:rsidRDefault="0048137D" w:rsidP="0048137D">
      <w:pPr>
        <w:pStyle w:val="Heading3"/>
      </w:pPr>
      <w:r>
        <w:t>2.3.1 Conclusion</w:t>
      </w:r>
    </w:p>
    <w:p w14:paraId="72576583" w14:textId="77777777" w:rsidR="0045200E" w:rsidRPr="00234CB3" w:rsidRDefault="0045200E" w:rsidP="0045200E">
      <w:pPr>
        <w:rPr>
          <w:lang w:eastAsia="en-US"/>
        </w:rPr>
      </w:pPr>
      <w:r>
        <w:rPr>
          <w:lang w:eastAsia="en-US"/>
        </w:rPr>
        <w:t>This type of safety device has a different mode of operation when compared to the other two devices. It relies on a high power amplifier output to close the link reliably, which with existing power classes would require an impossibly directional antenna for the anticipated form factor. Higher power classes e.g. PC1 may make a 3GPP specified implementation possible. The purpose of this device is to provide unconditional connectivity to professional users whenever needed.</w:t>
      </w:r>
    </w:p>
    <w:p w14:paraId="484F35E7" w14:textId="3474E396" w:rsidR="0048137D" w:rsidRDefault="0045200E" w:rsidP="0048137D">
      <w:pPr>
        <w:rPr>
          <w:i/>
          <w:iCs/>
        </w:rPr>
      </w:pPr>
      <w:r>
        <w:rPr>
          <w:b/>
          <w:bCs/>
          <w:i/>
          <w:iCs/>
        </w:rPr>
        <w:t xml:space="preserve">Observation 3: </w:t>
      </w:r>
      <w:r>
        <w:rPr>
          <w:i/>
          <w:iCs/>
        </w:rPr>
        <w:t xml:space="preserve">To compete performance-wise with current safety service offerings, </w:t>
      </w:r>
      <w:r w:rsidR="00E75172">
        <w:rPr>
          <w:i/>
          <w:iCs/>
        </w:rPr>
        <w:t>antennas must be incredibly high performance to achieve similar EIRP with PC3. PC1 devices may make this more realistic.</w:t>
      </w:r>
    </w:p>
    <w:p w14:paraId="0E14C9EF" w14:textId="14999535" w:rsidR="00E75172" w:rsidRDefault="00572B27" w:rsidP="008F25AD">
      <w:pPr>
        <w:pStyle w:val="Heading2"/>
      </w:pPr>
      <w:r>
        <w:t xml:space="preserve">2.4 Test Methodology and </w:t>
      </w:r>
      <w:r w:rsidR="001A20CA">
        <w:t>Process</w:t>
      </w:r>
    </w:p>
    <w:p w14:paraId="4A2AB54E" w14:textId="77777777" w:rsidR="00A9255B" w:rsidRDefault="00A9255B" w:rsidP="00A9255B">
      <w:r>
        <w:t>Currently Inmarsat’s FR1 VSAT-like terminals undergo several antenna tests:</w:t>
      </w:r>
    </w:p>
    <w:p w14:paraId="637A45A1" w14:textId="77777777" w:rsidR="00A9255B" w:rsidRDefault="00A9255B" w:rsidP="00A9255B">
      <w:pPr>
        <w:pStyle w:val="ListParagraph"/>
        <w:numPr>
          <w:ilvl w:val="0"/>
          <w:numId w:val="2"/>
        </w:numPr>
        <w:overflowPunct/>
        <w:autoSpaceDE/>
        <w:autoSpaceDN/>
        <w:adjustRightInd/>
        <w:textAlignment w:val="auto"/>
      </w:pPr>
      <w:r>
        <w:t>Radiation Pattern</w:t>
      </w:r>
    </w:p>
    <w:p w14:paraId="64CE1896" w14:textId="77777777" w:rsidR="00A9255B" w:rsidRDefault="00A9255B" w:rsidP="00A9255B">
      <w:pPr>
        <w:pStyle w:val="ListParagraph"/>
        <w:numPr>
          <w:ilvl w:val="0"/>
          <w:numId w:val="2"/>
        </w:numPr>
        <w:overflowPunct/>
        <w:autoSpaceDE/>
        <w:autoSpaceDN/>
        <w:adjustRightInd/>
        <w:textAlignment w:val="auto"/>
      </w:pPr>
      <w:r>
        <w:t>Antenna Polarisation</w:t>
      </w:r>
    </w:p>
    <w:p w14:paraId="5192304C" w14:textId="77777777" w:rsidR="00A9255B" w:rsidRDefault="00A9255B" w:rsidP="00A9255B">
      <w:pPr>
        <w:pStyle w:val="ListParagraph"/>
        <w:numPr>
          <w:ilvl w:val="0"/>
          <w:numId w:val="2"/>
        </w:numPr>
        <w:overflowPunct/>
        <w:autoSpaceDE/>
        <w:autoSpaceDN/>
        <w:adjustRightInd/>
        <w:textAlignment w:val="auto"/>
      </w:pPr>
      <w:r>
        <w:t>Antenna Axial Ratio</w:t>
      </w:r>
    </w:p>
    <w:p w14:paraId="7053AC79" w14:textId="77777777" w:rsidR="00A9255B" w:rsidRDefault="00A9255B" w:rsidP="00A9255B">
      <w:pPr>
        <w:pStyle w:val="ListParagraph"/>
        <w:numPr>
          <w:ilvl w:val="0"/>
          <w:numId w:val="2"/>
        </w:numPr>
        <w:overflowPunct/>
        <w:autoSpaceDE/>
        <w:autoSpaceDN/>
        <w:adjustRightInd/>
        <w:textAlignment w:val="auto"/>
      </w:pPr>
      <w:r>
        <w:t>Pointing Error</w:t>
      </w:r>
    </w:p>
    <w:p w14:paraId="550C8821" w14:textId="77777777" w:rsidR="00A9255B" w:rsidRDefault="00A9255B" w:rsidP="00A9255B">
      <w:pPr>
        <w:pStyle w:val="ListParagraph"/>
        <w:numPr>
          <w:ilvl w:val="0"/>
          <w:numId w:val="2"/>
        </w:numPr>
        <w:overflowPunct/>
        <w:autoSpaceDE/>
        <w:autoSpaceDN/>
        <w:adjustRightInd/>
        <w:textAlignment w:val="auto"/>
      </w:pPr>
      <w:r>
        <w:t>G/T Determination</w:t>
      </w:r>
    </w:p>
    <w:p w14:paraId="64E529FC" w14:textId="48D1EF65" w:rsidR="00A9255B" w:rsidRDefault="002E5F56" w:rsidP="002E5F56">
      <w:pPr>
        <w:pStyle w:val="Heading3"/>
      </w:pPr>
      <w:r>
        <w:t>2.4.1 Radiation Pattern</w:t>
      </w:r>
    </w:p>
    <w:p w14:paraId="3974B8C0" w14:textId="10B4AE43" w:rsidR="00AC7E68" w:rsidRDefault="00AC7E68" w:rsidP="00AC7E68">
      <w:pPr>
        <w:rPr>
          <w:lang w:eastAsia="en-US"/>
        </w:rPr>
      </w:pPr>
      <w:r>
        <w:rPr>
          <w:lang w:eastAsia="en-US"/>
        </w:rPr>
        <w:t>Radiation patterns are obtained for each antenna in both RHCP and LHCP, satellite transmit / receive antennas often utilise circular polarisation, so this is leveraged when terminals are designed to provide polarisation diversity to other systems operating on opposite / linear polarisations and to provide heightened resilience to multipaths.</w:t>
      </w:r>
    </w:p>
    <w:p w14:paraId="371C503E" w14:textId="2722E752" w:rsidR="00AC7E68" w:rsidRDefault="00AC7E68" w:rsidP="00AC7E68">
      <w:pPr>
        <w:rPr>
          <w:lang w:eastAsia="en-US"/>
        </w:rPr>
      </w:pPr>
      <w:r>
        <w:rPr>
          <w:lang w:eastAsia="en-US"/>
        </w:rPr>
        <w:t>The measurements are taken in an anechoic chamber, with all radomes, casings and hardware installed as expected to be used when deployed. This includes steering mechanisms and hardware.</w:t>
      </w:r>
    </w:p>
    <w:p w14:paraId="192FF54B" w14:textId="53C077D2" w:rsidR="00AC7E68" w:rsidRDefault="00AC7E68" w:rsidP="00AC7E68">
      <w:pPr>
        <w:rPr>
          <w:lang w:eastAsia="en-US"/>
        </w:rPr>
      </w:pPr>
      <w:r>
        <w:rPr>
          <w:lang w:eastAsia="en-US"/>
        </w:rPr>
        <w:t>Using calibrated test equipment the antenna gain is measured over the operating surface of the entire antenna, at different increments of azimuth / elevation values, usually at 5 degree steps. Usually this is done for all 360 degrees of azimuth, but the antenna is only assessed from 5 degrees to 90 degrees in elevation, though this depends on the surface over which coverage is expected.</w:t>
      </w:r>
    </w:p>
    <w:p w14:paraId="7D3C12C2" w14:textId="65474151" w:rsidR="00AC7E68" w:rsidRDefault="00AC7E68" w:rsidP="00AC7E68">
      <w:pPr>
        <w:rPr>
          <w:lang w:eastAsia="en-US"/>
        </w:rPr>
      </w:pPr>
      <w:r>
        <w:rPr>
          <w:lang w:eastAsia="en-US"/>
        </w:rPr>
        <w:t>For an antenna which incorporates a steering mechanism (mechanical, beamforming, antenna switching etc.) the antenna shall be made to point at the azimuth / elevation value of the test point. For antennas which do not feature a steering mechanism, the antenna system remains unchanged for all of the azimuth / elevation values.</w:t>
      </w:r>
    </w:p>
    <w:p w14:paraId="54786668" w14:textId="1EE556ED" w:rsidR="00AC7E68" w:rsidRDefault="00AC7E68" w:rsidP="00AC7E68">
      <w:pPr>
        <w:rPr>
          <w:lang w:eastAsia="en-US"/>
        </w:rPr>
      </w:pPr>
      <w:r w:rsidRPr="00820FEC">
        <w:rPr>
          <w:lang w:eastAsia="en-US"/>
        </w:rPr>
        <w:t>Transmit antenna patterns are measured</w:t>
      </w:r>
      <w:r>
        <w:rPr>
          <w:lang w:eastAsia="en-US"/>
        </w:rPr>
        <w:t xml:space="preserve"> across the whole transmit spectrum and receive antenna patterns are measured across the whole receive spectrum.</w:t>
      </w:r>
    </w:p>
    <w:p w14:paraId="29FD88A3" w14:textId="77777777" w:rsidR="00AC7E68" w:rsidRDefault="00AC7E68" w:rsidP="00AC7E68">
      <w:pPr>
        <w:rPr>
          <w:lang w:eastAsia="en-US"/>
        </w:rPr>
      </w:pPr>
      <w:r>
        <w:rPr>
          <w:lang w:eastAsia="en-US"/>
        </w:rPr>
        <w:t>Below is an image of the calibrated test antenna:</w:t>
      </w:r>
    </w:p>
    <w:p w14:paraId="0835675A" w14:textId="77777777" w:rsidR="00AC7E68" w:rsidRDefault="00AC7E68" w:rsidP="00AC7E68">
      <w:pPr>
        <w:keepNext/>
        <w:jc w:val="center"/>
      </w:pPr>
      <w:r>
        <w:rPr>
          <w:noProof/>
        </w:rPr>
        <w:drawing>
          <wp:inline distT="0" distB="0" distL="0" distR="0" wp14:anchorId="602AD37A" wp14:editId="65FFD825">
            <wp:extent cx="4229100" cy="4695825"/>
            <wp:effectExtent l="0" t="0" r="0" b="9525"/>
            <wp:docPr id="1695344587" name="Picture 1" descr="A metal object with a tube and wi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344587" name="Picture 1" descr="A metal object with a tube and wire&#10;&#10;Description automatically generated with medium confidence"/>
                    <pic:cNvPicPr/>
                  </pic:nvPicPr>
                  <pic:blipFill>
                    <a:blip r:embed="rId22"/>
                    <a:stretch>
                      <a:fillRect/>
                    </a:stretch>
                  </pic:blipFill>
                  <pic:spPr>
                    <a:xfrm>
                      <a:off x="0" y="0"/>
                      <a:ext cx="4229100" cy="4695825"/>
                    </a:xfrm>
                    <a:prstGeom prst="rect">
                      <a:avLst/>
                    </a:prstGeom>
                  </pic:spPr>
                </pic:pic>
              </a:graphicData>
            </a:graphic>
          </wp:inline>
        </w:drawing>
      </w:r>
    </w:p>
    <w:p w14:paraId="1AAA5FA5" w14:textId="2D207BBB" w:rsidR="00AC7E68" w:rsidRPr="00AC7E68" w:rsidRDefault="00AC7E68" w:rsidP="00AC7E68">
      <w:pPr>
        <w:pStyle w:val="Caption"/>
        <w:jc w:val="center"/>
        <w:rPr>
          <w:b/>
          <w:bCs/>
          <w:lang w:eastAsia="en-US"/>
        </w:rPr>
      </w:pPr>
      <w:r w:rsidRPr="00AC7E68">
        <w:rPr>
          <w:b/>
          <w:bCs/>
        </w:rPr>
        <w:t xml:space="preserve">Figure </w:t>
      </w:r>
      <w:r w:rsidRPr="00AC7E68">
        <w:rPr>
          <w:b/>
          <w:bCs/>
        </w:rPr>
        <w:fldChar w:fldCharType="begin"/>
      </w:r>
      <w:r w:rsidRPr="00AC7E68">
        <w:rPr>
          <w:b/>
          <w:bCs/>
        </w:rPr>
        <w:instrText xml:space="preserve"> SEQ Figure \* ARABIC </w:instrText>
      </w:r>
      <w:r w:rsidRPr="00AC7E68">
        <w:rPr>
          <w:b/>
          <w:bCs/>
        </w:rPr>
        <w:fldChar w:fldCharType="separate"/>
      </w:r>
      <w:r>
        <w:rPr>
          <w:b/>
          <w:bCs/>
          <w:noProof/>
        </w:rPr>
        <w:t>8</w:t>
      </w:r>
      <w:r w:rsidRPr="00AC7E68">
        <w:rPr>
          <w:b/>
          <w:bCs/>
        </w:rPr>
        <w:fldChar w:fldCharType="end"/>
      </w:r>
      <w:r w:rsidRPr="00AC7E68">
        <w:rPr>
          <w:b/>
          <w:bCs/>
        </w:rPr>
        <w:t xml:space="preserve"> Calibrated Test Antenna</w:t>
      </w:r>
    </w:p>
    <w:p w14:paraId="1523F584" w14:textId="77777777" w:rsidR="00AC7E68" w:rsidRDefault="00AC7E68" w:rsidP="00AC7E68">
      <w:pPr>
        <w:rPr>
          <w:lang w:eastAsia="en-US"/>
        </w:rPr>
      </w:pPr>
      <w:r>
        <w:rPr>
          <w:lang w:eastAsia="en-US"/>
        </w:rPr>
        <w:t>Below is an image of an antenna mounted in the chamber:</w:t>
      </w:r>
    </w:p>
    <w:p w14:paraId="76EC6391" w14:textId="77777777" w:rsidR="00AC7E68" w:rsidRDefault="00AC7E68" w:rsidP="00AC7E68">
      <w:pPr>
        <w:keepNext/>
        <w:jc w:val="center"/>
      </w:pPr>
      <w:r>
        <w:rPr>
          <w:noProof/>
        </w:rPr>
        <w:drawing>
          <wp:inline distT="0" distB="0" distL="0" distR="0" wp14:anchorId="2313E1B4" wp14:editId="4CC67D33">
            <wp:extent cx="4523198" cy="3370997"/>
            <wp:effectExtent l="0" t="0" r="0" b="1270"/>
            <wp:docPr id="371473251" name="Picture 371473251" descr="A close-up of a light bul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473251" name="Picture 1" descr="A close-up of a light bulb&#10;&#10;Description automatically generated"/>
                    <pic:cNvPicPr/>
                  </pic:nvPicPr>
                  <pic:blipFill>
                    <a:blip r:embed="rId23"/>
                    <a:stretch>
                      <a:fillRect/>
                    </a:stretch>
                  </pic:blipFill>
                  <pic:spPr>
                    <a:xfrm>
                      <a:off x="0" y="0"/>
                      <a:ext cx="4534547" cy="3379455"/>
                    </a:xfrm>
                    <a:prstGeom prst="rect">
                      <a:avLst/>
                    </a:prstGeom>
                  </pic:spPr>
                </pic:pic>
              </a:graphicData>
            </a:graphic>
          </wp:inline>
        </w:drawing>
      </w:r>
    </w:p>
    <w:p w14:paraId="1F8E81C0" w14:textId="78DFC81A" w:rsidR="00AC7E68" w:rsidRPr="00AC7E68" w:rsidRDefault="00AC7E68" w:rsidP="00AC7E68">
      <w:pPr>
        <w:pStyle w:val="Caption"/>
        <w:jc w:val="center"/>
        <w:rPr>
          <w:b/>
          <w:bCs/>
          <w:lang w:eastAsia="en-US"/>
        </w:rPr>
      </w:pPr>
      <w:r w:rsidRPr="00AC7E68">
        <w:rPr>
          <w:b/>
          <w:bCs/>
        </w:rPr>
        <w:t xml:space="preserve">Figure </w:t>
      </w:r>
      <w:r w:rsidRPr="00AC7E68">
        <w:rPr>
          <w:b/>
          <w:bCs/>
        </w:rPr>
        <w:fldChar w:fldCharType="begin"/>
      </w:r>
      <w:r w:rsidRPr="00AC7E68">
        <w:rPr>
          <w:b/>
          <w:bCs/>
        </w:rPr>
        <w:instrText xml:space="preserve"> SEQ Figure \* ARABIC </w:instrText>
      </w:r>
      <w:r w:rsidRPr="00AC7E68">
        <w:rPr>
          <w:b/>
          <w:bCs/>
        </w:rPr>
        <w:fldChar w:fldCharType="separate"/>
      </w:r>
      <w:r w:rsidRPr="00AC7E68">
        <w:rPr>
          <w:b/>
          <w:bCs/>
          <w:noProof/>
        </w:rPr>
        <w:t>9</w:t>
      </w:r>
      <w:r w:rsidRPr="00AC7E68">
        <w:rPr>
          <w:b/>
          <w:bCs/>
        </w:rPr>
        <w:fldChar w:fldCharType="end"/>
      </w:r>
      <w:r w:rsidRPr="00AC7E68">
        <w:rPr>
          <w:b/>
          <w:bCs/>
        </w:rPr>
        <w:t xml:space="preserve"> Antenna Under Test (AUT)</w:t>
      </w:r>
    </w:p>
    <w:p w14:paraId="39147074" w14:textId="77777777" w:rsidR="00AC7E68" w:rsidRDefault="00AC7E68" w:rsidP="00AC7E68">
      <w:pPr>
        <w:rPr>
          <w:lang w:eastAsia="en-US"/>
        </w:rPr>
      </w:pPr>
      <w:r>
        <w:rPr>
          <w:lang w:eastAsia="en-US"/>
        </w:rPr>
        <w:t>The antenna is rotated on a gimbal to provide all of the azimuth and elevation test points.</w:t>
      </w:r>
    </w:p>
    <w:p w14:paraId="6A6F4019" w14:textId="5A6AF269" w:rsidR="00F21D99" w:rsidRPr="00F21D99" w:rsidRDefault="00F21D99" w:rsidP="00AC7E68">
      <w:pPr>
        <w:rPr>
          <w:i/>
          <w:iCs/>
          <w:lang w:eastAsia="en-US"/>
        </w:rPr>
      </w:pPr>
      <w:r>
        <w:rPr>
          <w:b/>
          <w:bCs/>
          <w:i/>
          <w:iCs/>
          <w:lang w:eastAsia="en-US"/>
        </w:rPr>
        <w:t xml:space="preserve">Observation 4: </w:t>
      </w:r>
      <w:r>
        <w:rPr>
          <w:i/>
          <w:iCs/>
          <w:lang w:eastAsia="en-US"/>
        </w:rPr>
        <w:t>Many azimuth and elevation test points can be leveraged to assess the quality of the antenna over the entire satellite coverage area.</w:t>
      </w:r>
    </w:p>
    <w:p w14:paraId="5AA74C4A" w14:textId="096C7B82" w:rsidR="00BC4ECD" w:rsidRDefault="00BC4ECD" w:rsidP="00BC4ECD">
      <w:pPr>
        <w:pStyle w:val="Heading3"/>
        <w:rPr>
          <w:lang w:eastAsia="en-US"/>
        </w:rPr>
      </w:pPr>
      <w:r w:rsidRPr="00B94255">
        <w:rPr>
          <w:lang w:eastAsia="en-US"/>
        </w:rPr>
        <w:t>2.4.2 Antenna Polarisation</w:t>
      </w:r>
    </w:p>
    <w:p w14:paraId="251156EB" w14:textId="08FD465D" w:rsidR="00F21D99" w:rsidRPr="00B94255" w:rsidRDefault="00B94255" w:rsidP="00B94255">
      <w:pPr>
        <w:rPr>
          <w:lang w:eastAsia="en-US"/>
        </w:rPr>
      </w:pPr>
      <w:r>
        <w:rPr>
          <w:lang w:eastAsia="en-US"/>
        </w:rPr>
        <w:t>As above, antenna gain measurements are taken at both LHCP and RHCP.</w:t>
      </w:r>
    </w:p>
    <w:p w14:paraId="7CA79C48" w14:textId="7F296E3D" w:rsidR="00BE4D91" w:rsidRPr="00B94255" w:rsidRDefault="00E614D0" w:rsidP="00E614D0">
      <w:pPr>
        <w:pStyle w:val="Heading3"/>
      </w:pPr>
      <w:r w:rsidRPr="00B94255">
        <w:t>2.4.</w:t>
      </w:r>
      <w:r w:rsidR="00BC4ECD" w:rsidRPr="00B94255">
        <w:t>3</w:t>
      </w:r>
      <w:r w:rsidRPr="00B94255">
        <w:t xml:space="preserve"> </w:t>
      </w:r>
      <w:r w:rsidR="007D30C1" w:rsidRPr="00B94255">
        <w:t>Antenna Axial Ratio</w:t>
      </w:r>
    </w:p>
    <w:p w14:paraId="7F2B7543" w14:textId="6BDEFC71" w:rsidR="005F35D7" w:rsidRDefault="005F35D7" w:rsidP="005F35D7">
      <w:pPr>
        <w:rPr>
          <w:lang w:eastAsia="en-US"/>
        </w:rPr>
      </w:pPr>
      <w:r>
        <w:rPr>
          <w:lang w:eastAsia="en-US"/>
        </w:rPr>
        <w:t>Utilising the transmit / receive antenna gain patterns, the axial ratio of the antenna system can be calculated.</w:t>
      </w:r>
    </w:p>
    <w:p w14:paraId="14D5C3C4" w14:textId="61A23AC0" w:rsidR="005F35D7" w:rsidRDefault="005F35D7" w:rsidP="005F35D7">
      <w:pPr>
        <w:rPr>
          <w:lang w:eastAsia="en-US"/>
        </w:rPr>
      </w:pPr>
      <w:r>
        <w:rPr>
          <w:lang w:eastAsia="en-US"/>
        </w:rPr>
        <w:t>This is done at boresight for every azimuth / elevation test measurement point performed in the Radiation Pattern.</w:t>
      </w:r>
    </w:p>
    <w:p w14:paraId="64E8075A" w14:textId="2CA409FA" w:rsidR="005F35D7" w:rsidRDefault="005F35D7" w:rsidP="005F35D7">
      <w:pPr>
        <w:rPr>
          <w:lang w:eastAsia="en-US"/>
        </w:rPr>
      </w:pPr>
      <w:r>
        <w:rPr>
          <w:lang w:eastAsia="en-US"/>
        </w:rPr>
        <w:t>Axial Ratio is a measurement that describes the quality of the polarisation, and whether it is truly circularly polarised. It does this by assessing the antenna’s ability to reject the opposite circular polarisation e.g. if RHCP is desired, seeing the Tx/Rx gain for an LHCP signal would show this.</w:t>
      </w:r>
    </w:p>
    <w:p w14:paraId="1E926224" w14:textId="67ED3B2B" w:rsidR="005F35D7" w:rsidRDefault="005F35D7" w:rsidP="005F35D7">
      <w:pPr>
        <w:rPr>
          <w:lang w:eastAsia="en-US"/>
        </w:rPr>
      </w:pPr>
      <w:r>
        <w:rPr>
          <w:lang w:eastAsia="en-US"/>
        </w:rPr>
        <w:t>The equation for axial ratio is as follows:</w:t>
      </w:r>
    </w:p>
    <w:p w14:paraId="5242DB1C" w14:textId="020F8A87" w:rsidR="005F35D7" w:rsidRDefault="005F35D7" w:rsidP="005F35D7">
      <w:pPr>
        <w:rPr>
          <w:lang w:eastAsia="en-US"/>
        </w:rPr>
      </w:pPr>
      <m:oMathPara>
        <m:oMath>
          <m:r>
            <w:rPr>
              <w:rFonts w:ascii="Cambria Math" w:hAnsi="Cambria Math"/>
              <w:lang w:eastAsia="en-US"/>
            </w:rPr>
            <m:t xml:space="preserve">AR= </m:t>
          </m:r>
          <m:f>
            <m:fPr>
              <m:ctrlPr>
                <w:rPr>
                  <w:rFonts w:ascii="Cambria Math" w:hAnsi="Cambria Math"/>
                  <w:i/>
                  <w:lang w:eastAsia="en-US"/>
                </w:rPr>
              </m:ctrlPr>
            </m:fPr>
            <m:num>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RHCP</m:t>
                      </m:r>
                    </m:sub>
                  </m:sSub>
                </m:e>
              </m:d>
              <m:r>
                <w:rPr>
                  <w:rFonts w:ascii="Cambria Math" w:hAnsi="Cambria Math"/>
                  <w:lang w:eastAsia="en-US"/>
                </w:rPr>
                <m:t xml:space="preserve">- </m:t>
              </m:r>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LHCP</m:t>
                      </m:r>
                    </m:sub>
                  </m:sSub>
                </m:e>
              </m:d>
            </m:num>
            <m:den>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RHCP</m:t>
                      </m:r>
                    </m:sub>
                  </m:sSub>
                </m:e>
              </m:d>
              <m:r>
                <w:rPr>
                  <w:rFonts w:ascii="Cambria Math" w:hAnsi="Cambria Math"/>
                  <w:lang w:eastAsia="en-US"/>
                </w:rPr>
                <m:t xml:space="preserve">+ </m:t>
              </m:r>
              <m:d>
                <m:dPr>
                  <m:begChr m:val="|"/>
                  <m:endChr m:val="|"/>
                  <m:ctrlPr>
                    <w:rPr>
                      <w:rFonts w:ascii="Cambria Math" w:hAnsi="Cambria Math"/>
                      <w:i/>
                      <w:lang w:eastAsia="en-US"/>
                    </w:rPr>
                  </m:ctrlPr>
                </m:dPr>
                <m:e>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LHCP</m:t>
                      </m:r>
                    </m:sub>
                  </m:sSub>
                </m:e>
              </m:d>
            </m:den>
          </m:f>
        </m:oMath>
      </m:oMathPara>
    </w:p>
    <w:p w14:paraId="2DC7D1C1" w14:textId="00830D44" w:rsidR="007D30C1" w:rsidRDefault="005F35D7" w:rsidP="007D30C1">
      <w:pPr>
        <w:rPr>
          <w:lang w:eastAsia="en-US"/>
        </w:rPr>
      </w:pPr>
      <w:r>
        <w:rPr>
          <w:lang w:eastAsia="en-US"/>
        </w:rPr>
        <w:t>An axial ratio of 0dB means the polarisation of the antenna system is perfectly circular, this is very difficult to achieve so values of less than 6-8dB are usually tolerated.</w:t>
      </w:r>
    </w:p>
    <w:p w14:paraId="7C2E3BAE" w14:textId="207606E3" w:rsidR="00F21D99" w:rsidRPr="008A270F" w:rsidRDefault="008A270F" w:rsidP="007D30C1">
      <w:pPr>
        <w:rPr>
          <w:i/>
          <w:iCs/>
          <w:lang w:eastAsia="en-US"/>
        </w:rPr>
      </w:pPr>
      <w:r>
        <w:rPr>
          <w:b/>
          <w:bCs/>
          <w:i/>
          <w:iCs/>
          <w:lang w:eastAsia="en-US"/>
        </w:rPr>
        <w:t xml:space="preserve">Observation 5: </w:t>
      </w:r>
      <w:r>
        <w:rPr>
          <w:i/>
          <w:iCs/>
          <w:lang w:eastAsia="en-US"/>
        </w:rPr>
        <w:t>Circular Polarisation can be leveraged to improve resilience to linear / opposite circular polarisation rejection performance, and axial ratio is a measure of the quality of this isolation.</w:t>
      </w:r>
    </w:p>
    <w:p w14:paraId="0E681EE2" w14:textId="1BDCDB17" w:rsidR="007D30C1" w:rsidRDefault="007D30C1" w:rsidP="007D30C1">
      <w:pPr>
        <w:pStyle w:val="Heading3"/>
      </w:pPr>
      <w:r>
        <w:t>2.4.</w:t>
      </w:r>
      <w:r w:rsidR="00BC4ECD">
        <w:t>4</w:t>
      </w:r>
      <w:r>
        <w:t xml:space="preserve"> </w:t>
      </w:r>
      <w:r w:rsidR="00693933">
        <w:t>Pointing Error</w:t>
      </w:r>
    </w:p>
    <w:p w14:paraId="00B829F4" w14:textId="676E4463" w:rsidR="00693933" w:rsidRDefault="009B5C38" w:rsidP="00693933">
      <w:pPr>
        <w:rPr>
          <w:lang w:eastAsia="en-US"/>
        </w:rPr>
      </w:pPr>
      <w:r>
        <w:rPr>
          <w:lang w:eastAsia="en-US"/>
        </w:rPr>
        <w:t xml:space="preserve">For antenna systems which utilise a pointing mechanism. The method of test depends on how the terminal obtains satellite tracking information. Some terminals use the relative strength of the satellite signal to lock onto the satellite, whereas others use ephemeris information to lock onto the satellite. The pointing loss should be significantly insufficient to ensure performance degradation does not occur at maximum pointing error. FR1 antenna systems tend to have high beamwidths, thus tend to have a higher resilience to pointing error. </w:t>
      </w:r>
    </w:p>
    <w:p w14:paraId="6AE92A30" w14:textId="2A540D65" w:rsidR="00693933" w:rsidRDefault="00206764" w:rsidP="00693933">
      <w:pPr>
        <w:pStyle w:val="Heading3"/>
      </w:pPr>
      <w:r>
        <w:t>2.4.</w:t>
      </w:r>
      <w:r w:rsidR="00BC4ECD">
        <w:t>5</w:t>
      </w:r>
      <w:r>
        <w:t xml:space="preserve"> </w:t>
      </w:r>
      <w:r w:rsidR="00281D8F">
        <w:t>Gain-to-Antenna Noise Temperature</w:t>
      </w:r>
    </w:p>
    <w:p w14:paraId="248BA454" w14:textId="6B361ED4" w:rsidR="00F21D99" w:rsidRDefault="00F21D99" w:rsidP="00F21D99">
      <w:pPr>
        <w:rPr>
          <w:lang w:eastAsia="en-US"/>
        </w:rPr>
      </w:pPr>
      <w:r>
        <w:rPr>
          <w:lang w:eastAsia="en-US"/>
        </w:rPr>
        <w:t>Gain-to-antenna-noise ratio (G/T) is an important receiver metric in satellite communications. It utilises the contribution of thermal noise in the area surrounding the terminal, and the system noise temperature (from LNA Noise Figure, cable losses etc.) to assess the amount of noise introduced to the signal when it is received by the terminal.</w:t>
      </w:r>
    </w:p>
    <w:p w14:paraId="5D5CE380" w14:textId="20FBC004" w:rsidR="00F21D99" w:rsidRDefault="00F21D99" w:rsidP="00F21D99">
      <w:pPr>
        <w:rPr>
          <w:lang w:eastAsia="en-US"/>
        </w:rPr>
      </w:pPr>
      <w:r>
        <w:rPr>
          <w:lang w:eastAsia="en-US"/>
        </w:rPr>
        <w:t>For directional antennas, the boresight G/T is an important metric, for omni-directional antennas the G/T across the whole antenna surface is important.</w:t>
      </w:r>
    </w:p>
    <w:p w14:paraId="76BC8F67" w14:textId="5CE5DFFE" w:rsidR="00F21D99" w:rsidRDefault="00F21D99" w:rsidP="00F21D99">
      <w:pPr>
        <w:rPr>
          <w:lang w:eastAsia="en-US"/>
        </w:rPr>
      </w:pPr>
      <w:r>
        <w:rPr>
          <w:lang w:eastAsia="en-US"/>
        </w:rPr>
        <w:t>The thermal antenna noise contribution is dictated by the antenna gain and the sky noise profile. The sky noise profile dictates that the sky is ‘cool’ (around 6 kelvin) and the ground is ‘hot’ (290 kelvin for land and 190 kelvin for sea). The antenna beam pattern contributes thermal noise at different points around the surface of the antenna depending on the gain at that point. For example a high gain point on the pattern would contribute a large amount of thermal noise if it was pointing at the ground (290K).</w:t>
      </w:r>
    </w:p>
    <w:p w14:paraId="4B78B79E" w14:textId="1B671B11" w:rsidR="00F21D99" w:rsidRDefault="00F21D99" w:rsidP="00F21D99">
      <w:pPr>
        <w:rPr>
          <w:lang w:eastAsia="en-US"/>
        </w:rPr>
      </w:pPr>
      <w:r>
        <w:rPr>
          <w:lang w:eastAsia="en-US"/>
        </w:rPr>
        <w:t>As a result this antenna temperature will change depending on which way the antenna is pointing, so for an antenna which has antenna steering will need to have its antenna temperature calculated for each pointing angle used in the radiation pattern measurements. The antenna temperature is calculated by performing a surface integral of all of the thermal contributions at each measurement point over the antenna beam pattern.</w:t>
      </w:r>
    </w:p>
    <w:p w14:paraId="71290528" w14:textId="77777777" w:rsidR="00F21D99" w:rsidRDefault="00F21D99" w:rsidP="00F21D99">
      <w:pPr>
        <w:rPr>
          <w:lang w:eastAsia="en-US"/>
        </w:rPr>
      </w:pPr>
      <w:r>
        <w:rPr>
          <w:lang w:eastAsia="en-US"/>
        </w:rPr>
        <w:t>The antenna temperature is calculated as follows:</w:t>
      </w:r>
    </w:p>
    <w:p w14:paraId="1EEB7995" w14:textId="6DDDCF60" w:rsidR="00F21D99" w:rsidRDefault="00F21D99" w:rsidP="00F21D99">
      <w:pPr>
        <w:jc w:val="center"/>
        <w:rPr>
          <w:lang w:eastAsia="en-US"/>
        </w:rPr>
      </w:pPr>
      <w:r>
        <w:rPr>
          <w:noProof/>
        </w:rPr>
        <w:drawing>
          <wp:inline distT="0" distB="0" distL="0" distR="0" wp14:anchorId="33FC91E5" wp14:editId="7B75CD03">
            <wp:extent cx="3419605" cy="542062"/>
            <wp:effectExtent l="0" t="0" r="0" b="0"/>
            <wp:docPr id="1552598497" name="Picture 1"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598497" name="Picture 1" descr="A black text on a white background&#10;&#10;Description automatically generated"/>
                    <pic:cNvPicPr/>
                  </pic:nvPicPr>
                  <pic:blipFill>
                    <a:blip r:embed="rId24"/>
                    <a:stretch>
                      <a:fillRect/>
                    </a:stretch>
                  </pic:blipFill>
                  <pic:spPr>
                    <a:xfrm>
                      <a:off x="0" y="0"/>
                      <a:ext cx="3433084" cy="544199"/>
                    </a:xfrm>
                    <a:prstGeom prst="rect">
                      <a:avLst/>
                    </a:prstGeom>
                  </pic:spPr>
                </pic:pic>
              </a:graphicData>
            </a:graphic>
          </wp:inline>
        </w:drawing>
      </w:r>
    </w:p>
    <w:p w14:paraId="119CE6C9" w14:textId="3E9B0D8C" w:rsidR="00F21D99" w:rsidRDefault="00F21D99" w:rsidP="00F21D99">
      <w:pPr>
        <w:rPr>
          <w:lang w:eastAsia="en-US"/>
        </w:rPr>
      </w:pPr>
      <w:r>
        <w:rPr>
          <w:lang w:eastAsia="en-US"/>
        </w:rPr>
        <w:t>The G/T is then obtained using the following equation:</w:t>
      </w:r>
    </w:p>
    <w:p w14:paraId="1720ED99" w14:textId="3E9CAD43" w:rsidR="00F21D99" w:rsidRDefault="00864DEB" w:rsidP="00F21D99">
      <w:pPr>
        <w:rPr>
          <w:lang w:eastAsia="en-US"/>
        </w:rPr>
      </w:pPr>
      <m:oMathPara>
        <m:oMath>
          <m:f>
            <m:fPr>
              <m:ctrlPr>
                <w:rPr>
                  <w:rFonts w:ascii="Cambria Math" w:hAnsi="Cambria Math"/>
                  <w:i/>
                  <w:lang w:eastAsia="en-US"/>
                </w:rPr>
              </m:ctrlPr>
            </m:fPr>
            <m:num>
              <m:r>
                <w:rPr>
                  <w:rFonts w:ascii="Cambria Math" w:hAnsi="Cambria Math"/>
                  <w:lang w:eastAsia="en-US"/>
                </w:rPr>
                <m:t>G</m:t>
              </m:r>
            </m:num>
            <m:den>
              <m:r>
                <w:rPr>
                  <w:rFonts w:ascii="Cambria Math" w:hAnsi="Cambria Math"/>
                  <w:lang w:eastAsia="en-US"/>
                </w:rPr>
                <m:t>T</m:t>
              </m:r>
            </m:den>
          </m:f>
          <m:r>
            <w:rPr>
              <w:rFonts w:ascii="Cambria Math" w:hAnsi="Cambria Math"/>
              <w:lang w:eastAsia="en-US"/>
            </w:rPr>
            <m:t xml:space="preserve">= </m:t>
          </m:r>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lang w:eastAsia="en-US"/>
                    </w:rPr>
                    <m:t>Gain</m:t>
                  </m:r>
                </m:e>
                <m:sub>
                  <m:r>
                    <w:rPr>
                      <w:rFonts w:ascii="Cambria Math" w:hAnsi="Cambria Math"/>
                      <w:lang w:eastAsia="en-US"/>
                    </w:rPr>
                    <m:t>dBi</m:t>
                  </m:r>
                </m:sub>
              </m:sSub>
            </m:num>
            <m:den>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A</m:t>
                  </m:r>
                </m:sub>
              </m:sSub>
              <m:r>
                <w:rPr>
                  <w:rFonts w:ascii="Cambria Math" w:hAnsi="Cambria Math"/>
                  <w:lang w:eastAsia="en-US"/>
                </w:rPr>
                <m:t xml:space="preserve">+ </m:t>
              </m:r>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sys</m:t>
                  </m:r>
                </m:sub>
              </m:sSub>
            </m:den>
          </m:f>
        </m:oMath>
      </m:oMathPara>
    </w:p>
    <w:p w14:paraId="0E296710" w14:textId="706D8629" w:rsidR="00F21D99" w:rsidRDefault="00F21D99" w:rsidP="00F21D99">
      <w:pPr>
        <w:rPr>
          <w:lang w:eastAsia="en-US"/>
        </w:rPr>
      </w:pPr>
      <w:r>
        <w:rPr>
          <w:lang w:eastAsia="en-US"/>
        </w:rPr>
        <w:t xml:space="preserve">Where </w:t>
      </w:r>
      <m:oMath>
        <m:sSub>
          <m:sSubPr>
            <m:ctrlPr>
              <w:rPr>
                <w:rFonts w:ascii="Cambria Math" w:hAnsi="Cambria Math"/>
                <w:i/>
                <w:lang w:eastAsia="en-US"/>
              </w:rPr>
            </m:ctrlPr>
          </m:sSubPr>
          <m:e>
            <m:r>
              <w:rPr>
                <w:rFonts w:ascii="Cambria Math" w:hAnsi="Cambria Math"/>
                <w:lang w:eastAsia="en-US"/>
              </w:rPr>
              <m:t>T</m:t>
            </m:r>
          </m:e>
          <m:sub>
            <m:r>
              <w:rPr>
                <w:rFonts w:ascii="Cambria Math" w:hAnsi="Cambria Math"/>
                <w:lang w:eastAsia="en-US"/>
              </w:rPr>
              <m:t>sys</m:t>
            </m:r>
          </m:sub>
        </m:sSub>
      </m:oMath>
      <w:r>
        <w:rPr>
          <w:lang w:eastAsia="en-US"/>
        </w:rPr>
        <w:t xml:space="preserve"> is the thermal noise contribution from the receiver chain. From this, the boresight G/T for directional systems or the antenna surface G/T for omni-directional systems can be obtained. As above, the G/T will have to be calculated for each pointing angle since the beam pattern will change and hence the noise temperature will change for each pointing angle, this will also have to be done at every desired receive frequency increment.</w:t>
      </w:r>
    </w:p>
    <w:p w14:paraId="656377EC" w14:textId="77777777" w:rsidR="00F21D99" w:rsidRDefault="00F21D99" w:rsidP="00F21D99">
      <w:pPr>
        <w:rPr>
          <w:lang w:eastAsia="en-US"/>
        </w:rPr>
      </w:pPr>
      <w:r>
        <w:rPr>
          <w:lang w:eastAsia="en-US"/>
        </w:rPr>
        <w:t>To summarise the difference between a directional antenna and an omni directional antenna, an omni-directional antenna will have the same antenna temperature regardless of orientation (≈100-300K), and as a result the G/T value will be low across the entire antenna pattern (&lt;-10dB/K depending on the receiver system temperature). For a directional antenna will have a very low antenna temperature when pointing towards the sky (&lt;100K), but a very high antenna temperature when pointing towards the ground (&gt;500K), as a result the G/T massively varies depending on the pointing angle of the antenna, if pointing towards the sky it can be &gt;0dB/K and if it is pointing towards the ground it can be &lt;&lt;0dB/K. This drop in G/T can have a significant effect on the SNR of the received signal.</w:t>
      </w:r>
    </w:p>
    <w:p w14:paraId="3DD96E18" w14:textId="6DB7C36B" w:rsidR="008A270F" w:rsidRDefault="008A270F" w:rsidP="008A270F">
      <w:pPr>
        <w:rPr>
          <w:i/>
          <w:iCs/>
          <w:lang w:eastAsia="en-US"/>
        </w:rPr>
      </w:pPr>
      <w:r>
        <w:rPr>
          <w:b/>
          <w:bCs/>
          <w:i/>
          <w:iCs/>
          <w:lang w:eastAsia="en-US"/>
        </w:rPr>
        <w:t xml:space="preserve">Observation 6: </w:t>
      </w:r>
      <w:r>
        <w:rPr>
          <w:i/>
          <w:iCs/>
          <w:lang w:eastAsia="en-US"/>
        </w:rPr>
        <w:t>G/T can be used to assess the entire receiver chain, and takes into account the directivity of the antenna and the noise contributions of the entire receiver system</w:t>
      </w:r>
      <w:r w:rsidR="00BB658D">
        <w:rPr>
          <w:i/>
          <w:iCs/>
          <w:lang w:eastAsia="en-US"/>
        </w:rPr>
        <w:t>. This can be done just using system information and a radiation pattern rather than TRS/TIS which is a complex text.</w:t>
      </w:r>
    </w:p>
    <w:p w14:paraId="38BD5FD2" w14:textId="05BE3A68" w:rsidR="008A270F" w:rsidRDefault="002B6700" w:rsidP="002B6700">
      <w:pPr>
        <w:pStyle w:val="Heading3"/>
        <w:rPr>
          <w:lang w:eastAsia="en-US"/>
        </w:rPr>
      </w:pPr>
      <w:r>
        <w:rPr>
          <w:lang w:eastAsia="en-US"/>
        </w:rPr>
        <w:t>2.4.6 Summary</w:t>
      </w:r>
    </w:p>
    <w:p w14:paraId="3E5E60F9" w14:textId="77777777" w:rsidR="002B6700" w:rsidRDefault="002B6700" w:rsidP="002B6700">
      <w:pPr>
        <w:rPr>
          <w:lang w:eastAsia="en-US"/>
        </w:rPr>
      </w:pPr>
      <w:r>
        <w:rPr>
          <w:lang w:eastAsia="en-US"/>
        </w:rPr>
        <w:t>These five test metrics provide a complete analysis of the antenna, which for the most part allows the antenna to be decoupled from the rest of the device (module specific etc.) while testing.</w:t>
      </w:r>
    </w:p>
    <w:p w14:paraId="2A3443F5" w14:textId="319E3A4F" w:rsidR="002B6700" w:rsidRDefault="002B6700" w:rsidP="002B6700">
      <w:pPr>
        <w:rPr>
          <w:i/>
          <w:iCs/>
          <w:lang w:eastAsia="en-US"/>
        </w:rPr>
      </w:pPr>
      <w:r>
        <w:rPr>
          <w:b/>
          <w:bCs/>
          <w:i/>
          <w:iCs/>
          <w:lang w:eastAsia="en-US"/>
        </w:rPr>
        <w:t xml:space="preserve">Observation </w:t>
      </w:r>
      <w:r w:rsidR="00BB658D">
        <w:rPr>
          <w:b/>
          <w:bCs/>
          <w:i/>
          <w:iCs/>
          <w:lang w:eastAsia="en-US"/>
        </w:rPr>
        <w:t xml:space="preserve">7: </w:t>
      </w:r>
      <w:r w:rsidR="00DB2AC5">
        <w:rPr>
          <w:i/>
          <w:iCs/>
          <w:lang w:eastAsia="en-US"/>
        </w:rPr>
        <w:t>Thorough testing of the antenna in the right conditions may allow antenna manufacturers to decouple the antenna from the rest of the device and to test them separately with reasonable confidence of functionality when they are integrated together.</w:t>
      </w:r>
    </w:p>
    <w:p w14:paraId="29AB9548" w14:textId="316E2475" w:rsidR="00DB2AC5" w:rsidRDefault="00DB2AC5" w:rsidP="00DB2AC5">
      <w:pPr>
        <w:pStyle w:val="Heading1"/>
        <w:numPr>
          <w:ilvl w:val="0"/>
          <w:numId w:val="1"/>
        </w:numPr>
        <w:rPr>
          <w:lang w:eastAsia="en-US"/>
        </w:rPr>
      </w:pPr>
      <w:r>
        <w:rPr>
          <w:lang w:eastAsia="en-US"/>
        </w:rPr>
        <w:t>Conclusions</w:t>
      </w:r>
    </w:p>
    <w:p w14:paraId="5D1A1282" w14:textId="54B101E2" w:rsidR="00835AD2" w:rsidRDefault="00835AD2" w:rsidP="00835AD2">
      <w:pPr>
        <w:rPr>
          <w:lang w:eastAsia="en-US"/>
        </w:rPr>
      </w:pPr>
      <w:r>
        <w:rPr>
          <w:lang w:eastAsia="en-US"/>
        </w:rPr>
        <w:t>Currently there are several VSAT-like FR1 devices on the market to provide connectivity, with different use cases. Each one has a different methodology of how to close the link, and it is possible that a combination of these methodologies could manifest itself on the market in the future.</w:t>
      </w:r>
    </w:p>
    <w:p w14:paraId="4C44F83E" w14:textId="641C81DD" w:rsidR="00835AD2" w:rsidRDefault="00835AD2" w:rsidP="00835AD2">
      <w:pPr>
        <w:rPr>
          <w:lang w:eastAsia="en-US"/>
        </w:rPr>
      </w:pPr>
      <w:r>
        <w:rPr>
          <w:lang w:eastAsia="en-US"/>
        </w:rPr>
        <w:t>Testing the antenna radiation pattern, the polarisation, the axial ratio, pointing error and Gain-to-antenna noise temperature ratio provides a complete analysis of an antenna system across its entire range of operation.</w:t>
      </w:r>
    </w:p>
    <w:p w14:paraId="6F62AD1C" w14:textId="558B483E" w:rsidR="00835AD2" w:rsidRDefault="00835AD2" w:rsidP="00835AD2">
      <w:pPr>
        <w:rPr>
          <w:lang w:eastAsia="en-US"/>
        </w:rPr>
      </w:pPr>
      <w:r>
        <w:rPr>
          <w:lang w:eastAsia="en-US"/>
        </w:rPr>
        <w:t>The above gleaned the following observations:</w:t>
      </w:r>
    </w:p>
    <w:p w14:paraId="6A25A0B6" w14:textId="77777777" w:rsidR="00864DEB" w:rsidRPr="00143497" w:rsidRDefault="00864DEB" w:rsidP="00864DEB">
      <w:pPr>
        <w:rPr>
          <w:i/>
          <w:iCs/>
          <w:lang w:eastAsia="en-US"/>
        </w:rPr>
      </w:pPr>
      <w:r>
        <w:rPr>
          <w:b/>
          <w:bCs/>
          <w:i/>
          <w:iCs/>
          <w:lang w:eastAsia="en-US"/>
        </w:rPr>
        <w:t xml:space="preserve">Observation 1: </w:t>
      </w:r>
      <w:r>
        <w:rPr>
          <w:i/>
          <w:iCs/>
          <w:lang w:eastAsia="en-US"/>
        </w:rPr>
        <w:t>NTN devices may include small form factor switched antenna / phased array devices with pointing aids to provide high data rate services. In the case of the iSatHub, a VSAT-like device in FR1 that utilises antenna switching and pointing aids for the purpose of user tethering has an EIRP of 40dBm and an antenna gain of 8dBi.</w:t>
      </w:r>
    </w:p>
    <w:p w14:paraId="2F77ABC6" w14:textId="77777777" w:rsidR="00864DEB" w:rsidRDefault="00864DEB" w:rsidP="00864DEB">
      <w:pPr>
        <w:rPr>
          <w:i/>
          <w:iCs/>
          <w:lang w:eastAsia="en-US"/>
        </w:rPr>
      </w:pPr>
      <w:r>
        <w:rPr>
          <w:b/>
          <w:bCs/>
          <w:i/>
          <w:iCs/>
          <w:lang w:eastAsia="en-US"/>
        </w:rPr>
        <w:t xml:space="preserve">Observation 2: </w:t>
      </w:r>
      <w:r>
        <w:rPr>
          <w:i/>
          <w:iCs/>
          <w:lang w:eastAsia="en-US"/>
        </w:rPr>
        <w:t>High gain antennas leveraging circular polarisation discrimination can be used to achieve a reliable high throughput system on a small form factor, with a relatively simple antenna design with some beamforming capability. In this case a small form factor phased array antenna with an RHCP antenna gain across the frequency band of interest of 13dBi for both Rx/Tx. The phased array enables some beamsteering capabilities.</w:t>
      </w:r>
    </w:p>
    <w:p w14:paraId="20AD75C9" w14:textId="77777777" w:rsidR="00835AD2" w:rsidRDefault="00835AD2" w:rsidP="00835AD2">
      <w:pPr>
        <w:rPr>
          <w:i/>
          <w:iCs/>
        </w:rPr>
      </w:pPr>
      <w:r>
        <w:rPr>
          <w:b/>
          <w:bCs/>
          <w:i/>
          <w:iCs/>
        </w:rPr>
        <w:t xml:space="preserve">Observation 3: </w:t>
      </w:r>
      <w:r>
        <w:rPr>
          <w:i/>
          <w:iCs/>
        </w:rPr>
        <w:t>To compete performance-wise with current safety service offerings, antennas must be incredibly high performance to achieve similar EIRP with PC3. PC1 devices may make this more realistic.</w:t>
      </w:r>
    </w:p>
    <w:p w14:paraId="06D509A4" w14:textId="77777777" w:rsidR="00835AD2" w:rsidRPr="00F21D99" w:rsidRDefault="00835AD2" w:rsidP="00835AD2">
      <w:pPr>
        <w:rPr>
          <w:i/>
          <w:iCs/>
          <w:lang w:eastAsia="en-US"/>
        </w:rPr>
      </w:pPr>
      <w:r>
        <w:rPr>
          <w:b/>
          <w:bCs/>
          <w:i/>
          <w:iCs/>
          <w:lang w:eastAsia="en-US"/>
        </w:rPr>
        <w:t xml:space="preserve">Observation 4: </w:t>
      </w:r>
      <w:r>
        <w:rPr>
          <w:i/>
          <w:iCs/>
          <w:lang w:eastAsia="en-US"/>
        </w:rPr>
        <w:t>Many azimuth and elevation test points can be leveraged to assess the quality of the antenna over the entire satellite coverage area.</w:t>
      </w:r>
    </w:p>
    <w:p w14:paraId="53B1940D" w14:textId="77777777" w:rsidR="00835AD2" w:rsidRPr="008A270F" w:rsidRDefault="00835AD2" w:rsidP="00835AD2">
      <w:pPr>
        <w:rPr>
          <w:i/>
          <w:iCs/>
          <w:lang w:eastAsia="en-US"/>
        </w:rPr>
      </w:pPr>
      <w:r>
        <w:rPr>
          <w:b/>
          <w:bCs/>
          <w:i/>
          <w:iCs/>
          <w:lang w:eastAsia="en-US"/>
        </w:rPr>
        <w:t xml:space="preserve">Observation 5: </w:t>
      </w:r>
      <w:r>
        <w:rPr>
          <w:i/>
          <w:iCs/>
          <w:lang w:eastAsia="en-US"/>
        </w:rPr>
        <w:t>Circular Polarisation can be leveraged to improve resilience to linear / opposite circular polarisation rejection performance, and axial ratio is a measure of the quality of this isolation.</w:t>
      </w:r>
    </w:p>
    <w:p w14:paraId="7FB1ABD5" w14:textId="77777777" w:rsidR="00835AD2" w:rsidRDefault="00835AD2" w:rsidP="00835AD2">
      <w:pPr>
        <w:rPr>
          <w:i/>
          <w:iCs/>
          <w:lang w:eastAsia="en-US"/>
        </w:rPr>
      </w:pPr>
      <w:r>
        <w:rPr>
          <w:b/>
          <w:bCs/>
          <w:i/>
          <w:iCs/>
          <w:lang w:eastAsia="en-US"/>
        </w:rPr>
        <w:t xml:space="preserve">Observation 6: </w:t>
      </w:r>
      <w:r>
        <w:rPr>
          <w:i/>
          <w:iCs/>
          <w:lang w:eastAsia="en-US"/>
        </w:rPr>
        <w:t>G/T can be used to assess the entire receiver chain, and takes into account the directivity of the antenna and the noise contributions of the entire receiver system. This can be done just using system information and a radiation pattern rather than TRS/TIS which is a complex text.</w:t>
      </w:r>
    </w:p>
    <w:p w14:paraId="05A277E6" w14:textId="77777777" w:rsidR="00835AD2" w:rsidRDefault="00835AD2" w:rsidP="00835AD2">
      <w:pPr>
        <w:rPr>
          <w:i/>
          <w:iCs/>
          <w:lang w:eastAsia="en-US"/>
        </w:rPr>
      </w:pPr>
      <w:r>
        <w:rPr>
          <w:b/>
          <w:bCs/>
          <w:i/>
          <w:iCs/>
          <w:lang w:eastAsia="en-US"/>
        </w:rPr>
        <w:t xml:space="preserve">Observation 7: </w:t>
      </w:r>
      <w:r>
        <w:rPr>
          <w:i/>
          <w:iCs/>
          <w:lang w:eastAsia="en-US"/>
        </w:rPr>
        <w:t>Thorough testing of the antenna in the right conditions may allow antenna manufacturers to decouple the antenna from the rest of the device and to test them separately with reasonable confidence of functionality when they are integrated together.</w:t>
      </w:r>
    </w:p>
    <w:p w14:paraId="7320D086" w14:textId="77777777" w:rsidR="00835AD2" w:rsidRPr="00FD346A" w:rsidRDefault="00835AD2" w:rsidP="00835AD2">
      <w:pPr>
        <w:rPr>
          <w:lang w:eastAsia="en-US"/>
        </w:rPr>
      </w:pPr>
    </w:p>
    <w:p w14:paraId="4E71D358" w14:textId="77777777" w:rsidR="00835AD2" w:rsidRPr="00835AD2" w:rsidRDefault="00835AD2" w:rsidP="00835AD2">
      <w:pPr>
        <w:rPr>
          <w:lang w:eastAsia="en-US"/>
        </w:rPr>
      </w:pPr>
    </w:p>
    <w:p w14:paraId="60412612" w14:textId="77777777" w:rsidR="002B6700" w:rsidRPr="002B6700" w:rsidRDefault="002B6700" w:rsidP="002B6700">
      <w:pPr>
        <w:rPr>
          <w:lang w:eastAsia="en-US"/>
        </w:rPr>
      </w:pPr>
    </w:p>
    <w:p w14:paraId="6FDE4A68" w14:textId="77777777" w:rsidR="008A270F" w:rsidRDefault="008A270F" w:rsidP="00F21D99">
      <w:pPr>
        <w:rPr>
          <w:lang w:eastAsia="en-US"/>
        </w:rPr>
      </w:pPr>
    </w:p>
    <w:p w14:paraId="748E58E0" w14:textId="77777777" w:rsidR="00F21D99" w:rsidRPr="00F21D99" w:rsidRDefault="00F21D99" w:rsidP="00F21D99"/>
    <w:p w14:paraId="7F0B7BF0" w14:textId="77777777" w:rsidR="00715751" w:rsidRPr="00715751" w:rsidRDefault="00715751" w:rsidP="00715751"/>
    <w:p w14:paraId="5650F34C" w14:textId="77777777" w:rsidR="003B1AB1" w:rsidRDefault="003B1AB1"/>
    <w:sectPr w:rsidR="003B1AB1">
      <w:headerReference w:type="even"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Luca Lodigiani" w:date="2024-08-09T23:06:00Z" w:initials="LL">
    <w:p w14:paraId="026DAEC7" w14:textId="3DF60097" w:rsidR="00C904B4" w:rsidRDefault="00C904B4" w:rsidP="00C904B4">
      <w:pPr>
        <w:pStyle w:val="CommentText"/>
      </w:pPr>
      <w:r>
        <w:rPr>
          <w:rStyle w:val="CommentReference"/>
        </w:rPr>
        <w:annotationRef/>
      </w:r>
      <w:r>
        <w:fldChar w:fldCharType="begin"/>
      </w:r>
      <w:r>
        <w:instrText>HYPERLINK "mailto:Alexander.Rhodes@inmarsat.com"</w:instrText>
      </w:r>
      <w:bookmarkStart w:id="3" w:name="_@_FB91A00060C340E9A43DA9EE4E611DB9Z"/>
      <w:r>
        <w:fldChar w:fldCharType="separate"/>
      </w:r>
      <w:bookmarkEnd w:id="3"/>
      <w:r w:rsidRPr="00C904B4">
        <w:rPr>
          <w:rStyle w:val="Mention"/>
          <w:noProof/>
        </w:rPr>
        <w:t>@Alexander Rhodes</w:t>
      </w:r>
      <w:r>
        <w:fldChar w:fldCharType="end"/>
      </w:r>
      <w:r>
        <w:t xml:space="preserve"> Same as above, we need at least an observation to capture the characteristics of this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26DAEC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C15477A" w16cex:dateUtc="2024-08-09T22: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26DAEC7" w16cid:durableId="7C1547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59A8A3" w14:textId="77777777" w:rsidR="00B25036" w:rsidRDefault="00B25036">
      <w:pPr>
        <w:spacing w:after="0"/>
      </w:pPr>
      <w:r>
        <w:separator/>
      </w:r>
    </w:p>
  </w:endnote>
  <w:endnote w:type="continuationSeparator" w:id="0">
    <w:p w14:paraId="099326C3" w14:textId="77777777" w:rsidR="00B25036" w:rsidRDefault="00B25036">
      <w:pPr>
        <w:spacing w:after="0"/>
      </w:pPr>
      <w:r>
        <w:continuationSeparator/>
      </w:r>
    </w:p>
  </w:endnote>
  <w:endnote w:type="continuationNotice" w:id="1">
    <w:p w14:paraId="34A79EF3" w14:textId="77777777" w:rsidR="00B45E8B" w:rsidRDefault="00B45E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6A7874" w14:textId="77777777" w:rsidR="00B25036" w:rsidRDefault="00B25036">
      <w:pPr>
        <w:spacing w:after="0"/>
      </w:pPr>
      <w:r>
        <w:separator/>
      </w:r>
    </w:p>
  </w:footnote>
  <w:footnote w:type="continuationSeparator" w:id="0">
    <w:p w14:paraId="4F0382A8" w14:textId="77777777" w:rsidR="00B25036" w:rsidRDefault="00B25036">
      <w:pPr>
        <w:spacing w:after="0"/>
      </w:pPr>
      <w:r>
        <w:continuationSeparator/>
      </w:r>
    </w:p>
  </w:footnote>
  <w:footnote w:type="continuationNotice" w:id="1">
    <w:p w14:paraId="3F32736E" w14:textId="77777777" w:rsidR="00B45E8B" w:rsidRDefault="00B45E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511293" w14:textId="77777777" w:rsidR="00835AD2" w:rsidRDefault="00835AD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6803152C"/>
    <w:multiLevelType w:val="hybridMultilevel"/>
    <w:tmpl w:val="3AB49600"/>
    <w:lvl w:ilvl="0" w:tplc="78FCDC1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73226880">
    <w:abstractNumId w:val="0"/>
  </w:num>
  <w:num w:numId="2" w16cid:durableId="680395620">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Luca Lodigiani">
    <w15:presenceInfo w15:providerId="AD" w15:userId="S::Luca.Lodigiani@inmarsat.com::dbecbdc4-19ea-4ab2-8160-ea7bc6df93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1AB1"/>
    <w:rsid w:val="0001477D"/>
    <w:rsid w:val="00016D97"/>
    <w:rsid w:val="00036C40"/>
    <w:rsid w:val="000A556B"/>
    <w:rsid w:val="000E218A"/>
    <w:rsid w:val="0011741E"/>
    <w:rsid w:val="00143497"/>
    <w:rsid w:val="00160D0A"/>
    <w:rsid w:val="001A20CA"/>
    <w:rsid w:val="001C0958"/>
    <w:rsid w:val="001E12AF"/>
    <w:rsid w:val="001E168A"/>
    <w:rsid w:val="00206764"/>
    <w:rsid w:val="00281D8F"/>
    <w:rsid w:val="002B6700"/>
    <w:rsid w:val="002E5F56"/>
    <w:rsid w:val="0033715C"/>
    <w:rsid w:val="003463F3"/>
    <w:rsid w:val="0037764F"/>
    <w:rsid w:val="003B1AB1"/>
    <w:rsid w:val="003D5D0B"/>
    <w:rsid w:val="003F5140"/>
    <w:rsid w:val="00437E38"/>
    <w:rsid w:val="0045200E"/>
    <w:rsid w:val="004721C7"/>
    <w:rsid w:val="0048137D"/>
    <w:rsid w:val="004929D6"/>
    <w:rsid w:val="004B14DF"/>
    <w:rsid w:val="004E5977"/>
    <w:rsid w:val="00525786"/>
    <w:rsid w:val="00572B27"/>
    <w:rsid w:val="005C2FD9"/>
    <w:rsid w:val="005F35D7"/>
    <w:rsid w:val="00602FA1"/>
    <w:rsid w:val="00644392"/>
    <w:rsid w:val="00693933"/>
    <w:rsid w:val="006B57D6"/>
    <w:rsid w:val="006E2B16"/>
    <w:rsid w:val="00715751"/>
    <w:rsid w:val="00735E73"/>
    <w:rsid w:val="00757980"/>
    <w:rsid w:val="007C1261"/>
    <w:rsid w:val="007D30C1"/>
    <w:rsid w:val="00833993"/>
    <w:rsid w:val="00835AD2"/>
    <w:rsid w:val="00864DEB"/>
    <w:rsid w:val="008A270F"/>
    <w:rsid w:val="008F25AD"/>
    <w:rsid w:val="008F4310"/>
    <w:rsid w:val="00907DCB"/>
    <w:rsid w:val="009542B0"/>
    <w:rsid w:val="00966333"/>
    <w:rsid w:val="009B5C38"/>
    <w:rsid w:val="009D70D0"/>
    <w:rsid w:val="009F5D01"/>
    <w:rsid w:val="00A829C5"/>
    <w:rsid w:val="00A9255B"/>
    <w:rsid w:val="00AC7E68"/>
    <w:rsid w:val="00B25036"/>
    <w:rsid w:val="00B45E8B"/>
    <w:rsid w:val="00B47D9F"/>
    <w:rsid w:val="00B94255"/>
    <w:rsid w:val="00BB658D"/>
    <w:rsid w:val="00BC4ECD"/>
    <w:rsid w:val="00BD16BA"/>
    <w:rsid w:val="00BE4D91"/>
    <w:rsid w:val="00C24377"/>
    <w:rsid w:val="00C904B4"/>
    <w:rsid w:val="00CB4655"/>
    <w:rsid w:val="00CB73C4"/>
    <w:rsid w:val="00CF4FAA"/>
    <w:rsid w:val="00D418EE"/>
    <w:rsid w:val="00D42FBC"/>
    <w:rsid w:val="00D74B26"/>
    <w:rsid w:val="00D75C71"/>
    <w:rsid w:val="00DB2AC5"/>
    <w:rsid w:val="00E614D0"/>
    <w:rsid w:val="00E6276A"/>
    <w:rsid w:val="00E75172"/>
    <w:rsid w:val="00EB0D72"/>
    <w:rsid w:val="00EB7DAB"/>
    <w:rsid w:val="00F21D99"/>
    <w:rsid w:val="00F3609E"/>
    <w:rsid w:val="00FA55FA"/>
    <w:rsid w:val="00FC1CC8"/>
    <w:rsid w:val="00FC50DF"/>
    <w:rsid w:val="00FD1194"/>
    <w:rsid w:val="00FE7D36"/>
    <w:rsid w:val="00FF2DD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860235"/>
  <w15:chartTrackingRefBased/>
  <w15:docId w15:val="{85E4C9B2-6281-4FAB-AF20-410EF2A9E3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B"/>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907D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07DCB"/>
    <w:pPr>
      <w:pBdr>
        <w:top w:val="none" w:sz="0" w:space="0" w:color="auto"/>
      </w:pBdr>
      <w:spacing w:before="180"/>
      <w:outlineLvl w:val="1"/>
    </w:pPr>
    <w:rPr>
      <w:sz w:val="32"/>
    </w:rPr>
  </w:style>
  <w:style w:type="paragraph" w:styleId="Heading3">
    <w:name w:val="heading 3"/>
    <w:basedOn w:val="Heading2"/>
    <w:next w:val="Normal"/>
    <w:qFormat/>
    <w:rsid w:val="00907DCB"/>
    <w:pPr>
      <w:spacing w:before="120"/>
      <w:outlineLvl w:val="2"/>
    </w:pPr>
    <w:rPr>
      <w:sz w:val="28"/>
    </w:rPr>
  </w:style>
  <w:style w:type="paragraph" w:styleId="Heading4">
    <w:name w:val="heading 4"/>
    <w:basedOn w:val="Heading3"/>
    <w:next w:val="Normal"/>
    <w:qFormat/>
    <w:rsid w:val="00907DCB"/>
    <w:pPr>
      <w:ind w:left="1418" w:hanging="1418"/>
      <w:outlineLvl w:val="3"/>
    </w:pPr>
    <w:rPr>
      <w:sz w:val="24"/>
    </w:rPr>
  </w:style>
  <w:style w:type="paragraph" w:styleId="Heading5">
    <w:name w:val="heading 5"/>
    <w:basedOn w:val="Heading4"/>
    <w:next w:val="Normal"/>
    <w:qFormat/>
    <w:rsid w:val="00907DCB"/>
    <w:pPr>
      <w:ind w:left="1701" w:hanging="1701"/>
      <w:outlineLvl w:val="4"/>
    </w:pPr>
    <w:rPr>
      <w:sz w:val="22"/>
    </w:rPr>
  </w:style>
  <w:style w:type="paragraph" w:styleId="Heading6">
    <w:name w:val="heading 6"/>
    <w:basedOn w:val="H6"/>
    <w:next w:val="Normal"/>
    <w:qFormat/>
    <w:rsid w:val="00907DCB"/>
    <w:pPr>
      <w:outlineLvl w:val="5"/>
    </w:pPr>
  </w:style>
  <w:style w:type="paragraph" w:styleId="Heading7">
    <w:name w:val="heading 7"/>
    <w:basedOn w:val="H6"/>
    <w:next w:val="Normal"/>
    <w:qFormat/>
    <w:rsid w:val="00907DCB"/>
    <w:pPr>
      <w:outlineLvl w:val="6"/>
    </w:pPr>
  </w:style>
  <w:style w:type="paragraph" w:styleId="Heading8">
    <w:name w:val="heading 8"/>
    <w:basedOn w:val="Heading1"/>
    <w:next w:val="Normal"/>
    <w:qFormat/>
    <w:rsid w:val="00907DCB"/>
    <w:pPr>
      <w:ind w:left="0" w:firstLine="0"/>
      <w:outlineLvl w:val="7"/>
    </w:pPr>
  </w:style>
  <w:style w:type="paragraph" w:styleId="Heading9">
    <w:name w:val="heading 9"/>
    <w:basedOn w:val="Heading8"/>
    <w:next w:val="Normal"/>
    <w:qFormat/>
    <w:rsid w:val="00907DCB"/>
    <w:pPr>
      <w:outlineLvl w:val="8"/>
    </w:pPr>
  </w:style>
  <w:style w:type="character" w:default="1" w:styleId="DefaultParagraphFont">
    <w:name w:val="Default Paragraph Font"/>
    <w:semiHidden/>
    <w:rsid w:val="00907D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07DCB"/>
  </w:style>
  <w:style w:type="paragraph" w:styleId="TOC8">
    <w:name w:val="toc 8"/>
    <w:basedOn w:val="TOC1"/>
    <w:semiHidden/>
    <w:rsid w:val="00907DCB"/>
    <w:pPr>
      <w:spacing w:before="180"/>
      <w:ind w:left="2693" w:hanging="2693"/>
    </w:pPr>
    <w:rPr>
      <w:b/>
    </w:rPr>
  </w:style>
  <w:style w:type="paragraph" w:styleId="TOC1">
    <w:name w:val="toc 1"/>
    <w:semiHidden/>
    <w:rsid w:val="00907DC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907D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907DCB"/>
    <w:pPr>
      <w:ind w:left="1701" w:hanging="1701"/>
    </w:pPr>
  </w:style>
  <w:style w:type="paragraph" w:styleId="TOC4">
    <w:name w:val="toc 4"/>
    <w:basedOn w:val="TOC3"/>
    <w:semiHidden/>
    <w:rsid w:val="00907DCB"/>
    <w:pPr>
      <w:ind w:left="1418" w:hanging="1418"/>
    </w:pPr>
  </w:style>
  <w:style w:type="paragraph" w:styleId="TOC3">
    <w:name w:val="toc 3"/>
    <w:basedOn w:val="TOC2"/>
    <w:semiHidden/>
    <w:rsid w:val="00907DCB"/>
    <w:pPr>
      <w:ind w:left="1134" w:hanging="1134"/>
    </w:pPr>
  </w:style>
  <w:style w:type="paragraph" w:styleId="TOC2">
    <w:name w:val="toc 2"/>
    <w:basedOn w:val="TOC1"/>
    <w:semiHidden/>
    <w:rsid w:val="00907DCB"/>
    <w:pPr>
      <w:keepNext w:val="0"/>
      <w:spacing w:before="0"/>
      <w:ind w:left="851" w:hanging="851"/>
    </w:pPr>
    <w:rPr>
      <w:sz w:val="20"/>
    </w:rPr>
  </w:style>
  <w:style w:type="paragraph" w:styleId="Index2">
    <w:name w:val="index 2"/>
    <w:basedOn w:val="Index1"/>
    <w:semiHidden/>
    <w:rsid w:val="00907DCB"/>
    <w:pPr>
      <w:ind w:left="284"/>
    </w:pPr>
  </w:style>
  <w:style w:type="paragraph" w:styleId="Index1">
    <w:name w:val="index 1"/>
    <w:basedOn w:val="Normal"/>
    <w:semiHidden/>
    <w:rsid w:val="00907DCB"/>
    <w:pPr>
      <w:keepLines/>
      <w:spacing w:after="0"/>
    </w:pPr>
  </w:style>
  <w:style w:type="paragraph" w:customStyle="1" w:styleId="ZH">
    <w:name w:val="ZH"/>
    <w:rsid w:val="00907D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907DCB"/>
    <w:pPr>
      <w:outlineLvl w:val="9"/>
    </w:pPr>
  </w:style>
  <w:style w:type="paragraph" w:styleId="ListNumber2">
    <w:name w:val="List Number 2"/>
    <w:basedOn w:val="ListNumber"/>
    <w:semiHidden/>
    <w:rsid w:val="00907DCB"/>
    <w:pPr>
      <w:ind w:left="851"/>
    </w:pPr>
  </w:style>
  <w:style w:type="paragraph" w:styleId="Header">
    <w:name w:val="header"/>
    <w:semiHidden/>
    <w:rsid w:val="00907DC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907DCB"/>
    <w:rPr>
      <w:b/>
      <w:position w:val="6"/>
      <w:sz w:val="16"/>
    </w:rPr>
  </w:style>
  <w:style w:type="paragraph" w:styleId="FootnoteText">
    <w:name w:val="footnote text"/>
    <w:basedOn w:val="Normal"/>
    <w:semiHidden/>
    <w:rsid w:val="00907DCB"/>
    <w:pPr>
      <w:keepLines/>
      <w:spacing w:after="0"/>
      <w:ind w:left="454" w:hanging="454"/>
    </w:pPr>
    <w:rPr>
      <w:sz w:val="16"/>
    </w:rPr>
  </w:style>
  <w:style w:type="paragraph" w:customStyle="1" w:styleId="TAH">
    <w:name w:val="TAH"/>
    <w:basedOn w:val="TAC"/>
    <w:rsid w:val="00907DCB"/>
    <w:rPr>
      <w:b/>
    </w:rPr>
  </w:style>
  <w:style w:type="paragraph" w:customStyle="1" w:styleId="TAC">
    <w:name w:val="TAC"/>
    <w:basedOn w:val="TAL"/>
    <w:rsid w:val="00907DCB"/>
    <w:pPr>
      <w:jc w:val="center"/>
    </w:pPr>
  </w:style>
  <w:style w:type="paragraph" w:customStyle="1" w:styleId="TF">
    <w:name w:val="TF"/>
    <w:basedOn w:val="TH"/>
    <w:rsid w:val="00907DCB"/>
    <w:pPr>
      <w:keepNext w:val="0"/>
      <w:spacing w:before="0" w:after="240"/>
    </w:pPr>
  </w:style>
  <w:style w:type="paragraph" w:customStyle="1" w:styleId="NO">
    <w:name w:val="NO"/>
    <w:basedOn w:val="Normal"/>
    <w:rsid w:val="00907DCB"/>
    <w:pPr>
      <w:keepLines/>
      <w:ind w:left="1135" w:hanging="851"/>
    </w:pPr>
  </w:style>
  <w:style w:type="paragraph" w:styleId="TOC9">
    <w:name w:val="toc 9"/>
    <w:basedOn w:val="TOC8"/>
    <w:semiHidden/>
    <w:rsid w:val="00907DCB"/>
    <w:pPr>
      <w:ind w:left="1418" w:hanging="1418"/>
    </w:pPr>
  </w:style>
  <w:style w:type="paragraph" w:customStyle="1" w:styleId="EX">
    <w:name w:val="EX"/>
    <w:basedOn w:val="Normal"/>
    <w:rsid w:val="00907DCB"/>
    <w:pPr>
      <w:keepLines/>
      <w:ind w:left="1702" w:hanging="1418"/>
    </w:pPr>
  </w:style>
  <w:style w:type="paragraph" w:customStyle="1" w:styleId="FP">
    <w:name w:val="FP"/>
    <w:basedOn w:val="Normal"/>
    <w:rsid w:val="00907DCB"/>
    <w:pPr>
      <w:spacing w:after="0"/>
    </w:pPr>
  </w:style>
  <w:style w:type="paragraph" w:customStyle="1" w:styleId="LD">
    <w:name w:val="LD"/>
    <w:rsid w:val="00907D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907DCB"/>
    <w:pPr>
      <w:spacing w:after="0"/>
    </w:pPr>
  </w:style>
  <w:style w:type="paragraph" w:customStyle="1" w:styleId="EW">
    <w:name w:val="EW"/>
    <w:basedOn w:val="EX"/>
    <w:rsid w:val="00907DCB"/>
    <w:pPr>
      <w:spacing w:after="0"/>
    </w:pPr>
  </w:style>
  <w:style w:type="paragraph" w:styleId="TOC6">
    <w:name w:val="toc 6"/>
    <w:basedOn w:val="TOC5"/>
    <w:next w:val="Normal"/>
    <w:semiHidden/>
    <w:rsid w:val="00907DCB"/>
    <w:pPr>
      <w:ind w:left="1985" w:hanging="1985"/>
    </w:pPr>
  </w:style>
  <w:style w:type="paragraph" w:styleId="TOC7">
    <w:name w:val="toc 7"/>
    <w:basedOn w:val="TOC6"/>
    <w:next w:val="Normal"/>
    <w:semiHidden/>
    <w:rsid w:val="00907DCB"/>
    <w:pPr>
      <w:ind w:left="2268" w:hanging="2268"/>
    </w:pPr>
  </w:style>
  <w:style w:type="paragraph" w:styleId="ListBullet2">
    <w:name w:val="List Bullet 2"/>
    <w:basedOn w:val="ListBullet"/>
    <w:semiHidden/>
    <w:rsid w:val="00907DCB"/>
    <w:pPr>
      <w:ind w:left="851"/>
    </w:pPr>
  </w:style>
  <w:style w:type="paragraph" w:styleId="ListBullet3">
    <w:name w:val="List Bullet 3"/>
    <w:basedOn w:val="ListBullet2"/>
    <w:semiHidden/>
    <w:rsid w:val="00907DCB"/>
    <w:pPr>
      <w:ind w:left="1135"/>
    </w:pPr>
  </w:style>
  <w:style w:type="paragraph" w:styleId="ListNumber">
    <w:name w:val="List Number"/>
    <w:basedOn w:val="List"/>
    <w:semiHidden/>
    <w:rsid w:val="00907DCB"/>
  </w:style>
  <w:style w:type="paragraph" w:customStyle="1" w:styleId="EQ">
    <w:name w:val="EQ"/>
    <w:basedOn w:val="Normal"/>
    <w:next w:val="Normal"/>
    <w:rsid w:val="00907DCB"/>
    <w:pPr>
      <w:keepLines/>
      <w:tabs>
        <w:tab w:val="center" w:pos="4536"/>
        <w:tab w:val="right" w:pos="9072"/>
      </w:tabs>
    </w:pPr>
    <w:rPr>
      <w:noProof/>
    </w:rPr>
  </w:style>
  <w:style w:type="paragraph" w:customStyle="1" w:styleId="TH">
    <w:name w:val="TH"/>
    <w:basedOn w:val="Normal"/>
    <w:rsid w:val="00907DCB"/>
    <w:pPr>
      <w:keepNext/>
      <w:keepLines/>
      <w:spacing w:before="60"/>
      <w:jc w:val="center"/>
    </w:pPr>
    <w:rPr>
      <w:rFonts w:ascii="Arial" w:hAnsi="Arial"/>
      <w:b/>
    </w:rPr>
  </w:style>
  <w:style w:type="paragraph" w:customStyle="1" w:styleId="NF">
    <w:name w:val="NF"/>
    <w:basedOn w:val="NO"/>
    <w:rsid w:val="00907DCB"/>
    <w:pPr>
      <w:keepNext/>
      <w:spacing w:after="0"/>
    </w:pPr>
    <w:rPr>
      <w:rFonts w:ascii="Arial" w:hAnsi="Arial"/>
      <w:sz w:val="18"/>
    </w:rPr>
  </w:style>
  <w:style w:type="paragraph" w:customStyle="1" w:styleId="PL">
    <w:name w:val="PL"/>
    <w:rsid w:val="00907D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07DCB"/>
    <w:pPr>
      <w:jc w:val="right"/>
    </w:pPr>
  </w:style>
  <w:style w:type="paragraph" w:customStyle="1" w:styleId="H6">
    <w:name w:val="H6"/>
    <w:basedOn w:val="Heading5"/>
    <w:next w:val="Normal"/>
    <w:rsid w:val="00907DCB"/>
    <w:pPr>
      <w:ind w:left="1985" w:hanging="1985"/>
      <w:outlineLvl w:val="9"/>
    </w:pPr>
    <w:rPr>
      <w:sz w:val="20"/>
    </w:rPr>
  </w:style>
  <w:style w:type="paragraph" w:customStyle="1" w:styleId="TAN">
    <w:name w:val="TAN"/>
    <w:basedOn w:val="TAL"/>
    <w:rsid w:val="00907DCB"/>
    <w:pPr>
      <w:ind w:left="851" w:hanging="851"/>
    </w:pPr>
  </w:style>
  <w:style w:type="paragraph" w:customStyle="1" w:styleId="TAL">
    <w:name w:val="TAL"/>
    <w:basedOn w:val="Normal"/>
    <w:rsid w:val="00907DCB"/>
    <w:pPr>
      <w:keepNext/>
      <w:keepLines/>
      <w:spacing w:after="0"/>
    </w:pPr>
    <w:rPr>
      <w:rFonts w:ascii="Arial" w:hAnsi="Arial"/>
      <w:sz w:val="18"/>
    </w:rPr>
  </w:style>
  <w:style w:type="paragraph" w:customStyle="1" w:styleId="ZA">
    <w:name w:val="ZA"/>
    <w:rsid w:val="00907D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07D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907D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907D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907DCB"/>
    <w:pPr>
      <w:framePr w:wrap="notBeside" w:y="16161"/>
    </w:pPr>
  </w:style>
  <w:style w:type="character" w:customStyle="1" w:styleId="ZGSM">
    <w:name w:val="ZGSM"/>
    <w:rsid w:val="00907DCB"/>
  </w:style>
  <w:style w:type="paragraph" w:styleId="List2">
    <w:name w:val="List 2"/>
    <w:basedOn w:val="List"/>
    <w:semiHidden/>
    <w:rsid w:val="00907DCB"/>
    <w:pPr>
      <w:ind w:left="851"/>
    </w:pPr>
  </w:style>
  <w:style w:type="paragraph" w:customStyle="1" w:styleId="ZG">
    <w:name w:val="ZG"/>
    <w:rsid w:val="00907D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907DCB"/>
    <w:pPr>
      <w:ind w:left="1135"/>
    </w:pPr>
  </w:style>
  <w:style w:type="paragraph" w:styleId="List4">
    <w:name w:val="List 4"/>
    <w:basedOn w:val="List3"/>
    <w:semiHidden/>
    <w:rsid w:val="00907DCB"/>
    <w:pPr>
      <w:ind w:left="1418"/>
    </w:pPr>
  </w:style>
  <w:style w:type="paragraph" w:styleId="List5">
    <w:name w:val="List 5"/>
    <w:basedOn w:val="List4"/>
    <w:semiHidden/>
    <w:rsid w:val="00907DCB"/>
    <w:pPr>
      <w:ind w:left="1702"/>
    </w:pPr>
  </w:style>
  <w:style w:type="paragraph" w:customStyle="1" w:styleId="EditorsNote">
    <w:name w:val="Editor's Note"/>
    <w:basedOn w:val="NO"/>
    <w:rsid w:val="00907DCB"/>
    <w:rPr>
      <w:color w:val="FF0000"/>
    </w:rPr>
  </w:style>
  <w:style w:type="paragraph" w:styleId="List">
    <w:name w:val="List"/>
    <w:basedOn w:val="Normal"/>
    <w:semiHidden/>
    <w:rsid w:val="00907DCB"/>
    <w:pPr>
      <w:ind w:left="568" w:hanging="284"/>
    </w:pPr>
  </w:style>
  <w:style w:type="paragraph" w:styleId="ListBullet">
    <w:name w:val="List Bullet"/>
    <w:basedOn w:val="List"/>
    <w:semiHidden/>
    <w:rsid w:val="00907DCB"/>
  </w:style>
  <w:style w:type="paragraph" w:styleId="ListBullet4">
    <w:name w:val="List Bullet 4"/>
    <w:basedOn w:val="ListBullet3"/>
    <w:semiHidden/>
    <w:rsid w:val="00907DCB"/>
    <w:pPr>
      <w:ind w:left="1418"/>
    </w:pPr>
  </w:style>
  <w:style w:type="paragraph" w:styleId="ListBullet5">
    <w:name w:val="List Bullet 5"/>
    <w:basedOn w:val="ListBullet4"/>
    <w:semiHidden/>
    <w:rsid w:val="00907DCB"/>
    <w:pPr>
      <w:ind w:left="1702"/>
    </w:pPr>
  </w:style>
  <w:style w:type="paragraph" w:customStyle="1" w:styleId="B1">
    <w:name w:val="B1"/>
    <w:basedOn w:val="List"/>
    <w:rsid w:val="00907DCB"/>
  </w:style>
  <w:style w:type="paragraph" w:customStyle="1" w:styleId="B2">
    <w:name w:val="B2"/>
    <w:basedOn w:val="List2"/>
    <w:rsid w:val="00907DCB"/>
  </w:style>
  <w:style w:type="paragraph" w:customStyle="1" w:styleId="B3">
    <w:name w:val="B3"/>
    <w:basedOn w:val="List3"/>
    <w:rsid w:val="00907DCB"/>
  </w:style>
  <w:style w:type="paragraph" w:customStyle="1" w:styleId="B4">
    <w:name w:val="B4"/>
    <w:basedOn w:val="List4"/>
    <w:rsid w:val="00907DCB"/>
  </w:style>
  <w:style w:type="paragraph" w:customStyle="1" w:styleId="B5">
    <w:name w:val="B5"/>
    <w:basedOn w:val="List5"/>
    <w:rsid w:val="00907DCB"/>
  </w:style>
  <w:style w:type="paragraph" w:styleId="Footer">
    <w:name w:val="footer"/>
    <w:basedOn w:val="Header"/>
    <w:semiHidden/>
    <w:rsid w:val="00907DCB"/>
    <w:pPr>
      <w:jc w:val="center"/>
    </w:pPr>
    <w:rPr>
      <w:i/>
    </w:rPr>
  </w:style>
  <w:style w:type="paragraph" w:customStyle="1" w:styleId="ZTD">
    <w:name w:val="ZTD"/>
    <w:basedOn w:val="ZB"/>
    <w:rsid w:val="00907DCB"/>
    <w:pPr>
      <w:framePr w:hRule="auto" w:wrap="notBeside" w:y="852"/>
    </w:pPr>
    <w:rPr>
      <w:i w:val="0"/>
      <w:sz w:val="40"/>
    </w:rPr>
  </w:style>
  <w:style w:type="paragraph" w:styleId="NoSpacing">
    <w:name w:val="No Spacing"/>
    <w:uiPriority w:val="1"/>
    <w:qFormat/>
    <w:rsid w:val="00160D0A"/>
    <w:rPr>
      <w:rFonts w:ascii="Times New Roman" w:hAnsi="Times New Roman"/>
      <w:lang w:val="en-US" w:eastAsia="en-US"/>
    </w:rPr>
  </w:style>
  <w:style w:type="paragraph" w:styleId="BodyText">
    <w:name w:val="Body Text"/>
    <w:aliases w:val="bt"/>
    <w:basedOn w:val="Normal"/>
    <w:link w:val="BodyTextChar"/>
    <w:rsid w:val="00160D0A"/>
    <w:pPr>
      <w:spacing w:after="120"/>
      <w:jc w:val="both"/>
    </w:pPr>
    <w:rPr>
      <w:rFonts w:ascii="Times" w:eastAsia="SimSun" w:hAnsi="Times"/>
      <w:szCs w:val="24"/>
      <w:lang w:val="en-US" w:eastAsia="en-US"/>
    </w:rPr>
  </w:style>
  <w:style w:type="character" w:customStyle="1" w:styleId="BodyTextChar">
    <w:name w:val="Body Text Char"/>
    <w:aliases w:val="bt Char"/>
    <w:basedOn w:val="DefaultParagraphFont"/>
    <w:link w:val="BodyText"/>
    <w:rsid w:val="00160D0A"/>
    <w:rPr>
      <w:rFonts w:ascii="Times" w:eastAsia="SimSun" w:hAnsi="Times"/>
      <w:szCs w:val="24"/>
      <w:lang w:val="en-US" w:eastAsia="en-US"/>
    </w:rPr>
  </w:style>
  <w:style w:type="paragraph" w:styleId="ListParagraph">
    <w:name w:val="List Paragraph"/>
    <w:basedOn w:val="Normal"/>
    <w:uiPriority w:val="34"/>
    <w:qFormat/>
    <w:rsid w:val="00A829C5"/>
    <w:pPr>
      <w:ind w:left="720"/>
      <w:contextualSpacing/>
    </w:pPr>
  </w:style>
  <w:style w:type="paragraph" w:styleId="Caption">
    <w:name w:val="caption"/>
    <w:basedOn w:val="Normal"/>
    <w:next w:val="Normal"/>
    <w:uiPriority w:val="35"/>
    <w:unhideWhenUsed/>
    <w:qFormat/>
    <w:rsid w:val="00715751"/>
    <w:pPr>
      <w:spacing w:after="200"/>
    </w:pPr>
    <w:rPr>
      <w:i/>
      <w:iCs/>
      <w:color w:val="0E2841" w:themeColor="text2"/>
      <w:sz w:val="18"/>
      <w:szCs w:val="18"/>
    </w:rPr>
  </w:style>
  <w:style w:type="character" w:styleId="CommentReference">
    <w:name w:val="annotation reference"/>
    <w:basedOn w:val="DefaultParagraphFont"/>
    <w:uiPriority w:val="99"/>
    <w:semiHidden/>
    <w:unhideWhenUsed/>
    <w:rsid w:val="00B45E8B"/>
    <w:rPr>
      <w:sz w:val="16"/>
      <w:szCs w:val="16"/>
    </w:rPr>
  </w:style>
  <w:style w:type="paragraph" w:styleId="CommentText">
    <w:name w:val="annotation text"/>
    <w:basedOn w:val="Normal"/>
    <w:link w:val="CommentTextChar"/>
    <w:uiPriority w:val="99"/>
    <w:unhideWhenUsed/>
    <w:rsid w:val="00B45E8B"/>
  </w:style>
  <w:style w:type="character" w:customStyle="1" w:styleId="CommentTextChar">
    <w:name w:val="Comment Text Char"/>
    <w:basedOn w:val="DefaultParagraphFont"/>
    <w:link w:val="CommentText"/>
    <w:uiPriority w:val="99"/>
    <w:rsid w:val="00B45E8B"/>
    <w:rPr>
      <w:rFonts w:ascii="Times New Roman" w:hAnsi="Times New Roman"/>
    </w:rPr>
  </w:style>
  <w:style w:type="paragraph" w:styleId="CommentSubject">
    <w:name w:val="annotation subject"/>
    <w:basedOn w:val="CommentText"/>
    <w:next w:val="CommentText"/>
    <w:link w:val="CommentSubjectChar"/>
    <w:uiPriority w:val="99"/>
    <w:semiHidden/>
    <w:unhideWhenUsed/>
    <w:rsid w:val="00B45E8B"/>
    <w:rPr>
      <w:b/>
      <w:bCs/>
    </w:rPr>
  </w:style>
  <w:style w:type="character" w:customStyle="1" w:styleId="CommentSubjectChar">
    <w:name w:val="Comment Subject Char"/>
    <w:basedOn w:val="CommentTextChar"/>
    <w:link w:val="CommentSubject"/>
    <w:uiPriority w:val="99"/>
    <w:semiHidden/>
    <w:rsid w:val="00B45E8B"/>
    <w:rPr>
      <w:rFonts w:ascii="Times New Roman" w:hAnsi="Times New Roman"/>
      <w:b/>
      <w:bCs/>
    </w:rPr>
  </w:style>
  <w:style w:type="character" w:styleId="Mention">
    <w:name w:val="Mention"/>
    <w:basedOn w:val="DefaultParagraphFont"/>
    <w:uiPriority w:val="99"/>
    <w:unhideWhenUsed/>
    <w:rsid w:val="00B45E8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4.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settings" Target="settings.xml"/><Relationship Id="rId12" Type="http://schemas.openxmlformats.org/officeDocument/2006/relationships/image" Target="media/image2.png"/><Relationship Id="rId17" Type="http://schemas.microsoft.com/office/2018/08/relationships/commentsExtensible" Target="commentsExtensible.xml"/><Relationship Id="rId25" Type="http://schemas.openxmlformats.org/officeDocument/2006/relationships/header" Target="header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image" Target="media/image8.png"/><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er.Rhodes\OneDrive%20-%20inmarsat.com\General%20-%203GPP%20RAN%201-2-3-4\24%20-%20RAN4\00%20-%20By%20Topic\12%20-%20OTA%20TRP%20TRS\112%20Maastricht\R4-2411546%20-%20NTN%20Modes%20of%20Operation%20-%20FR1%20OT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5" ma:contentTypeDescription="Create a new document." ma:contentTypeScope="" ma:versionID="b39ae841a2cb10cbdb341aa250dc5a45">
  <xsd:schema xmlns:xsd="http://www.w3.org/2001/XMLSchema" xmlns:xs="http://www.w3.org/2001/XMLSchema" xmlns:p="http://schemas.microsoft.com/office/2006/metadata/properties" xmlns:ns2="9521437f-7a5f-4c0e-989d-711dce789f28" xmlns:ns3="74fc1b7d-2491-4325-b4ba-4ded840cc5c3" xmlns:ns4="74454b63-66bb-4212-8455-87ee665820ff" targetNamespace="http://schemas.microsoft.com/office/2006/metadata/properties" ma:root="true" ma:fieldsID="90aab5c4ac859f4235775eccbc774661" ns2:_="" ns3:_="" ns4:_="">
    <xsd:import namespace="9521437f-7a5f-4c0e-989d-711dce789f28"/>
    <xsd:import namespace="74fc1b7d-2491-4325-b4ba-4ded840cc5c3"/>
    <xsd:import namespace="74454b63-66bb-4212-8455-87ee665820f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4:SharedWithUsers" minOccurs="0"/>
                <xsd:element ref="ns4: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4454b63-66bb-4212-8455-87ee665820ff"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74fc1b7d-2491-4325-b4ba-4ded840cc5c3" xsi:nil="true"/>
    <lcf76f155ced4ddcb4097134ff3c332f xmlns="9521437f-7a5f-4c0e-989d-711dce789f28">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8DBB16A-365C-4E19-AE88-CCE6C33E9072}">
  <ds:schemaRefs>
    <ds:schemaRef ds:uri="http://schemas.microsoft.com/sharepoint/v3/contenttype/forms"/>
  </ds:schemaRefs>
</ds:datastoreItem>
</file>

<file path=customXml/itemProps2.xml><?xml version="1.0" encoding="utf-8"?>
<ds:datastoreItem xmlns:ds="http://schemas.openxmlformats.org/officeDocument/2006/customXml" ds:itemID="{1CDE5543-597A-4837-A9B8-E403ED4E6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74454b63-66bb-4212-8455-87ee665820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AEB466-7085-4CF1-8ABD-4C75A03C134D}">
  <ds:schemaRefs>
    <ds:schemaRef ds:uri="http://schemas.openxmlformats.org/officeDocument/2006/bibliography"/>
  </ds:schemaRefs>
</ds:datastoreItem>
</file>

<file path=customXml/itemProps4.xml><?xml version="1.0" encoding="utf-8"?>
<ds:datastoreItem xmlns:ds="http://schemas.openxmlformats.org/officeDocument/2006/customXml" ds:itemID="{814B51E9-1CEB-413C-B48D-A3CCEA258928}">
  <ds:schemaRefs>
    <ds:schemaRef ds:uri="http://schemas.microsoft.com/office/2006/metadata/properties"/>
    <ds:schemaRef ds:uri="http://schemas.microsoft.com/office/infopath/2007/PartnerControls"/>
    <ds:schemaRef ds:uri="74fc1b7d-2491-4325-b4ba-4ded840cc5c3"/>
    <ds:schemaRef ds:uri="9521437f-7a5f-4c0e-989d-711dce789f28"/>
  </ds:schemaRefs>
</ds:datastoreItem>
</file>

<file path=docMetadata/LabelInfo.xml><?xml version="1.0" encoding="utf-8"?>
<clbl:labelList xmlns:clbl="http://schemas.microsoft.com/office/2020/mipLabelMetadata">
  <clbl:label id="{43eba056-5ca4-4871-89ac-bdd09160ce7e}" enabled="0" method="" siteId="{43eba056-5ca4-4871-89ac-bdd09160ce7e}" removed="1"/>
</clbl:labelList>
</file>

<file path=docProps/app.xml><?xml version="1.0" encoding="utf-8"?>
<Properties xmlns="http://schemas.openxmlformats.org/officeDocument/2006/extended-properties" xmlns:vt="http://schemas.openxmlformats.org/officeDocument/2006/docPropsVTypes">
  <Template>R4-2411546 - NTN Modes of Operation - FR1 OTA</Template>
  <TotalTime>0</TotalTime>
  <Pages>1</Pages>
  <Words>2312</Words>
  <Characters>13184</Characters>
  <Application>Microsoft Office Word</Application>
  <DocSecurity>4</DocSecurity>
  <Lines>109</Lines>
  <Paragraphs>30</Paragraphs>
  <ScaleCrop>false</ScaleCrop>
  <Company>ETSI Sophia Antipolis</Company>
  <LinksUpToDate>false</LinksUpToDate>
  <CharactersWithSpaces>15466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Alexander Rhodes</dc:creator>
  <cp:keywords>ESA, style sheet, Winword</cp:keywords>
  <dc:description/>
  <cp:lastModifiedBy>Alexander Rhodes</cp:lastModifiedBy>
  <cp:revision>62</cp:revision>
  <cp:lastPrinted>1900-01-01T00:00:00Z</cp:lastPrinted>
  <dcterms:created xsi:type="dcterms:W3CDTF">2024-08-08T16:06:00Z</dcterms:created>
  <dcterms:modified xsi:type="dcterms:W3CDTF">2024-08-09T22:08:00Z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0x010100B98573469650B343AF314866C5FCEB84</vt:lpwstr>
  </property>
  <property fmtid="{D5CDD505-2E9C-101B-9397-08002B2CF9AE}" pid="3" name="MediaServiceImageTags">
    <vt:lpwstr/>
  </property>
</Properties>
</file>